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1817" w14:textId="4C2C7FEB" w:rsidR="00843E20" w:rsidRDefault="00593148">
      <w:r>
        <w:rPr>
          <w:noProof/>
        </w:rPr>
        <w:drawing>
          <wp:inline distT="0" distB="0" distL="0" distR="0" wp14:anchorId="62342F43" wp14:editId="070615D4">
            <wp:extent cx="3105150" cy="1047750"/>
            <wp:effectExtent l="0" t="0" r="0" b="0"/>
            <wp:docPr id="4" name="Picture 1" descr="A black background with gree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black background with green and blu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FE9B9" w14:textId="77777777" w:rsidR="00843E20" w:rsidRDefault="00843E20" w:rsidP="00843E20">
      <w:pPr>
        <w:rPr>
          <w:b/>
          <w:sz w:val="28"/>
          <w:szCs w:val="26"/>
        </w:rPr>
      </w:pPr>
      <w:r>
        <w:rPr>
          <w:b/>
          <w:sz w:val="28"/>
          <w:szCs w:val="26"/>
        </w:rPr>
        <w:t>Police and Crime Commissioner and Chief Constable</w:t>
      </w:r>
    </w:p>
    <w:p w14:paraId="0A662B16" w14:textId="77777777" w:rsidR="00843E20" w:rsidRDefault="00843E20" w:rsidP="00843E20">
      <w:pPr>
        <w:rPr>
          <w:b/>
          <w:sz w:val="28"/>
          <w:szCs w:val="26"/>
        </w:rPr>
      </w:pPr>
      <w:r>
        <w:rPr>
          <w:b/>
          <w:sz w:val="28"/>
          <w:szCs w:val="26"/>
        </w:rPr>
        <w:t>Accountability and Performance Meeting</w:t>
      </w:r>
    </w:p>
    <w:p w14:paraId="0C8FAC68" w14:textId="320C2ECB" w:rsidR="00843E20" w:rsidRPr="00924085" w:rsidRDefault="00843E20" w:rsidP="00843E20">
      <w:pPr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="00593148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593148">
        <w:rPr>
          <w:sz w:val="26"/>
          <w:szCs w:val="26"/>
        </w:rPr>
        <w:t xml:space="preserve">October </w:t>
      </w:r>
      <w:r>
        <w:rPr>
          <w:sz w:val="26"/>
          <w:szCs w:val="26"/>
        </w:rPr>
        <w:t>2025</w:t>
      </w:r>
      <w:r w:rsidRPr="008125CD">
        <w:rPr>
          <w:sz w:val="26"/>
          <w:szCs w:val="26"/>
        </w:rPr>
        <w:t xml:space="preserve">, </w:t>
      </w:r>
      <w:r>
        <w:rPr>
          <w:sz w:val="26"/>
          <w:szCs w:val="26"/>
        </w:rPr>
        <w:t>10:30</w:t>
      </w:r>
      <w:r w:rsidRPr="008125CD">
        <w:rPr>
          <w:sz w:val="26"/>
          <w:szCs w:val="26"/>
        </w:rPr>
        <w:t>-1</w:t>
      </w:r>
      <w:r>
        <w:rPr>
          <w:sz w:val="26"/>
          <w:szCs w:val="26"/>
        </w:rPr>
        <w:t>1</w:t>
      </w:r>
      <w:r w:rsidRPr="008125CD">
        <w:rPr>
          <w:sz w:val="26"/>
          <w:szCs w:val="26"/>
        </w:rPr>
        <w:t>.</w:t>
      </w:r>
      <w:r>
        <w:rPr>
          <w:sz w:val="26"/>
          <w:szCs w:val="26"/>
        </w:rPr>
        <w:t>30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Gold Command</w:t>
      </w:r>
      <w:r w:rsidRPr="008125CD">
        <w:rPr>
          <w:sz w:val="26"/>
          <w:szCs w:val="26"/>
        </w:rPr>
        <w:t>, Police HQ</w:t>
      </w:r>
    </w:p>
    <w:p w14:paraId="7ED5DB35" w14:textId="77777777" w:rsidR="00843E20" w:rsidRPr="002E2809" w:rsidRDefault="00843E20" w:rsidP="002E2809">
      <w:pPr>
        <w:rPr>
          <w:b/>
          <w:bCs/>
          <w:sz w:val="28"/>
          <w:szCs w:val="28"/>
        </w:rPr>
      </w:pPr>
      <w:r w:rsidRPr="002E2809">
        <w:rPr>
          <w:b/>
          <w:bCs/>
          <w:sz w:val="28"/>
          <w:szCs w:val="28"/>
        </w:rPr>
        <w:t>Meeting note</w:t>
      </w:r>
    </w:p>
    <w:p w14:paraId="6D4780C1" w14:textId="159B28E0" w:rsidR="00843E20" w:rsidRPr="003D2B94" w:rsidRDefault="00843E20" w:rsidP="00843E20">
      <w:r w:rsidRPr="003D2B94">
        <w:t xml:space="preserve">On </w:t>
      </w:r>
      <w:r>
        <w:t>1</w:t>
      </w:r>
      <w:r w:rsidR="00593148">
        <w:t xml:space="preserve">4 October </w:t>
      </w:r>
      <w:r>
        <w:t>2025</w:t>
      </w:r>
      <w:r w:rsidRPr="003D2B94">
        <w:t>, the Police and Crime Commissioner for Hertfordshire, Jonathan Ash-Edwards, chaired the monthly Accountability and Performance Meeting, joined by Chief Constable Andy Pro</w:t>
      </w:r>
      <w:r>
        <w:t>phet</w:t>
      </w:r>
      <w:r w:rsidRPr="003D2B94">
        <w:t>. These meetings support the Commissioner’s statutory duty to hold the Chief Constable to account for the performance of Hertfordshire Constabulary.</w:t>
      </w:r>
    </w:p>
    <w:p w14:paraId="6B2359BB" w14:textId="77777777" w:rsidR="00843E20" w:rsidRPr="00AA07D1" w:rsidRDefault="00843E20" w:rsidP="00843E20">
      <w:pPr>
        <w:rPr>
          <w:b/>
          <w:bCs/>
          <w:sz w:val="2"/>
          <w:szCs w:val="2"/>
        </w:rPr>
      </w:pPr>
    </w:p>
    <w:p w14:paraId="4636513F" w14:textId="77777777" w:rsidR="00843E20" w:rsidRPr="003D2B94" w:rsidRDefault="00843E20" w:rsidP="00843E20">
      <w:pPr>
        <w:rPr>
          <w:b/>
          <w:bCs/>
        </w:rPr>
      </w:pPr>
      <w:r w:rsidRPr="003D2B94">
        <w:rPr>
          <w:b/>
          <w:bCs/>
        </w:rPr>
        <w:t>Agenda</w:t>
      </w:r>
      <w:r>
        <w:rPr>
          <w:b/>
          <w:bCs/>
        </w:rPr>
        <w:t>:</w:t>
      </w:r>
    </w:p>
    <w:p w14:paraId="51A50602" w14:textId="77777777" w:rsidR="00E01517" w:rsidRPr="00E01517" w:rsidRDefault="00843E20" w:rsidP="00E01517">
      <w:pPr>
        <w:spacing w:line="240" w:lineRule="auto"/>
        <w:rPr>
          <w:b/>
          <w:bCs/>
        </w:rPr>
      </w:pPr>
      <w:r w:rsidRPr="00E01517">
        <w:rPr>
          <w:b/>
          <w:bCs/>
        </w:rPr>
        <w:t xml:space="preserve">Item 1: </w:t>
      </w:r>
      <w:r w:rsidR="00693EFA" w:rsidRPr="00E01517">
        <w:rPr>
          <w:b/>
          <w:bCs/>
        </w:rPr>
        <w:t xml:space="preserve">Knife Crime </w:t>
      </w:r>
    </w:p>
    <w:p w14:paraId="5EF91B81" w14:textId="77777777" w:rsidR="00E01517" w:rsidRPr="00E01517" w:rsidRDefault="00FB7C8C" w:rsidP="00E01517">
      <w:pPr>
        <w:spacing w:line="240" w:lineRule="auto"/>
        <w:rPr>
          <w:b/>
          <w:bCs/>
        </w:rPr>
      </w:pPr>
      <w:r w:rsidRPr="00E01517">
        <w:rPr>
          <w:b/>
          <w:bCs/>
        </w:rPr>
        <w:t>Item 2: County Lines</w:t>
      </w:r>
    </w:p>
    <w:p w14:paraId="4C6843F7" w14:textId="77777777" w:rsidR="00E01517" w:rsidRPr="00E01517" w:rsidRDefault="00FB7C8C" w:rsidP="00E01517">
      <w:pPr>
        <w:spacing w:line="240" w:lineRule="auto"/>
        <w:rPr>
          <w:b/>
          <w:bCs/>
        </w:rPr>
      </w:pPr>
      <w:r w:rsidRPr="00E01517">
        <w:rPr>
          <w:b/>
          <w:bCs/>
        </w:rPr>
        <w:t>Item 3: Serious Violence Duty</w:t>
      </w:r>
    </w:p>
    <w:p w14:paraId="10D76D4C" w14:textId="77777777" w:rsidR="00E01517" w:rsidRPr="00E01517" w:rsidRDefault="00FB7C8C" w:rsidP="00E01517">
      <w:pPr>
        <w:spacing w:line="240" w:lineRule="auto"/>
        <w:rPr>
          <w:b/>
          <w:bCs/>
        </w:rPr>
      </w:pPr>
      <w:r w:rsidRPr="00E01517">
        <w:rPr>
          <w:b/>
          <w:bCs/>
        </w:rPr>
        <w:t>Item 4: Fraud and Scams</w:t>
      </w:r>
    </w:p>
    <w:p w14:paraId="3E51466F" w14:textId="1F2AEF06" w:rsidR="00FB616D" w:rsidRDefault="00FB7C8C" w:rsidP="00D37C99">
      <w:pPr>
        <w:spacing w:line="240" w:lineRule="auto"/>
        <w:rPr>
          <w:b/>
          <w:bCs/>
        </w:rPr>
      </w:pPr>
      <w:r w:rsidRPr="00E01517">
        <w:rPr>
          <w:b/>
          <w:bCs/>
        </w:rPr>
        <w:t xml:space="preserve">Item 5: Op Hotspot </w:t>
      </w:r>
      <w:r w:rsidR="00E01517" w:rsidRPr="00E01517">
        <w:rPr>
          <w:b/>
          <w:bCs/>
        </w:rPr>
        <w:t>half year update</w:t>
      </w:r>
    </w:p>
    <w:p w14:paraId="73A41048" w14:textId="77777777" w:rsidR="00D37C99" w:rsidRDefault="00D37C99" w:rsidP="00D37C99">
      <w:pPr>
        <w:spacing w:line="240" w:lineRule="auto"/>
        <w:rPr>
          <w:b/>
          <w:bCs/>
        </w:rPr>
      </w:pPr>
    </w:p>
    <w:p w14:paraId="7D33847D" w14:textId="64AB26D9" w:rsidR="00FB616D" w:rsidRPr="00FB616D" w:rsidRDefault="00FB616D" w:rsidP="00FB616D">
      <w:pPr>
        <w:rPr>
          <w:b/>
          <w:bCs/>
        </w:rPr>
      </w:pPr>
      <w:r>
        <w:rPr>
          <w:b/>
          <w:bCs/>
        </w:rPr>
        <w:t xml:space="preserve">Item 1: Knife Crime </w:t>
      </w:r>
    </w:p>
    <w:p w14:paraId="57913025" w14:textId="6D18AC4B" w:rsidR="002025BA" w:rsidRDefault="0001713B" w:rsidP="008E519F">
      <w:pPr>
        <w:pStyle w:val="ListParagraph"/>
        <w:numPr>
          <w:ilvl w:val="0"/>
          <w:numId w:val="5"/>
        </w:numPr>
      </w:pPr>
      <w:r w:rsidRPr="0001713B">
        <w:t>Hertfordshire remains a safe county</w:t>
      </w:r>
      <w:r w:rsidR="00A025F1">
        <w:t>,</w:t>
      </w:r>
      <w:r>
        <w:t xml:space="preserve"> but </w:t>
      </w:r>
      <w:r w:rsidR="00A025F1">
        <w:t xml:space="preserve">the Constabulary won’t </w:t>
      </w:r>
      <w:r>
        <w:t>be complacent</w:t>
      </w:r>
      <w:r w:rsidR="003E13E8">
        <w:t>.</w:t>
      </w:r>
    </w:p>
    <w:p w14:paraId="3E4C7D30" w14:textId="77777777" w:rsidR="002025BA" w:rsidRPr="002025BA" w:rsidRDefault="0001713B" w:rsidP="008E519F">
      <w:pPr>
        <w:pStyle w:val="ListParagraph"/>
        <w:numPr>
          <w:ilvl w:val="0"/>
          <w:numId w:val="5"/>
        </w:numPr>
      </w:pPr>
      <w:r w:rsidRPr="008E519F">
        <w:t>Recorded knife crime has been falling since January</w:t>
      </w:r>
      <w:r w:rsidR="004B1490" w:rsidRPr="008E519F">
        <w:t xml:space="preserve"> 2025</w:t>
      </w:r>
      <w:r w:rsidRPr="008E519F">
        <w:t>.</w:t>
      </w:r>
    </w:p>
    <w:p w14:paraId="1331FB62" w14:textId="6696A657" w:rsidR="008E519F" w:rsidRPr="008E519F" w:rsidRDefault="0011182E" w:rsidP="008E519F">
      <w:pPr>
        <w:pStyle w:val="ListParagraph"/>
        <w:numPr>
          <w:ilvl w:val="0"/>
          <w:numId w:val="5"/>
        </w:numPr>
      </w:pPr>
      <w:r w:rsidRPr="008E519F">
        <w:t xml:space="preserve">Since January 2025, </w:t>
      </w:r>
      <w:r w:rsidR="00BC11FC" w:rsidRPr="008E519F">
        <w:t xml:space="preserve">there has been </w:t>
      </w:r>
      <w:r w:rsidR="0001713B" w:rsidRPr="008E519F">
        <w:t xml:space="preserve">1,469 </w:t>
      </w:r>
      <w:r w:rsidRPr="008E519F">
        <w:t xml:space="preserve">recorded offences </w:t>
      </w:r>
      <w:r w:rsidR="0001713B" w:rsidRPr="008E519F">
        <w:t>linked to knives</w:t>
      </w:r>
      <w:r w:rsidR="002E2809">
        <w:t xml:space="preserve"> </w:t>
      </w:r>
      <w:r w:rsidR="0001713B" w:rsidRPr="008E519F">
        <w:t>(largest category: possession</w:t>
      </w:r>
      <w:r w:rsidR="008D1AE7" w:rsidRPr="008E519F">
        <w:t xml:space="preserve"> but that is </w:t>
      </w:r>
      <w:r w:rsidR="00F37C0D" w:rsidRPr="008E519F">
        <w:t xml:space="preserve">attributed to </w:t>
      </w:r>
      <w:r w:rsidR="002024CB" w:rsidRPr="008E519F">
        <w:t>undertaking proactive policing</w:t>
      </w:r>
      <w:r w:rsidR="0001713B" w:rsidRPr="008E519F">
        <w:t>)</w:t>
      </w:r>
      <w:r w:rsidR="003E13E8">
        <w:t>.</w:t>
      </w:r>
    </w:p>
    <w:p w14:paraId="3478324D" w14:textId="77777777" w:rsidR="008E519F" w:rsidRDefault="009C5498" w:rsidP="008E519F">
      <w:pPr>
        <w:pStyle w:val="ListParagraph"/>
        <w:numPr>
          <w:ilvl w:val="0"/>
          <w:numId w:val="5"/>
        </w:numPr>
      </w:pPr>
      <w:r>
        <w:t xml:space="preserve">Since January 2025 there has been </w:t>
      </w:r>
      <w:r w:rsidR="0001713B" w:rsidRPr="0001713B">
        <w:t xml:space="preserve">778 stop searches for weapons with </w:t>
      </w:r>
      <w:r w:rsidR="0001713B" w:rsidRPr="008E519F">
        <w:rPr>
          <w:b/>
          <w:bCs/>
        </w:rPr>
        <w:t>28% positive outcome rate</w:t>
      </w:r>
      <w:r w:rsidR="008E519F">
        <w:t>.</w:t>
      </w:r>
    </w:p>
    <w:p w14:paraId="6C98A1ED" w14:textId="3A976F54" w:rsidR="008E519F" w:rsidRDefault="00D60419" w:rsidP="00E54303">
      <w:pPr>
        <w:pStyle w:val="ListParagraph"/>
        <w:numPr>
          <w:ilvl w:val="0"/>
          <w:numId w:val="6"/>
        </w:numPr>
      </w:pPr>
      <w:r>
        <w:t>The Constabulary are taking an i</w:t>
      </w:r>
      <w:r w:rsidR="0001713B" w:rsidRPr="0001713B">
        <w:t>ntelligence-led approach: identifying habitual knife carriers</w:t>
      </w:r>
      <w:r w:rsidR="00E54303">
        <w:t xml:space="preserve"> (d</w:t>
      </w:r>
      <w:r w:rsidR="00E54303" w:rsidRPr="0001713B">
        <w:t>efined as individuals with 3+ knife-related incidents in 12 months</w:t>
      </w:r>
      <w:r w:rsidR="00E54303">
        <w:t>). The c</w:t>
      </w:r>
      <w:r w:rsidR="00E54303" w:rsidRPr="0001713B">
        <w:t>urrent</w:t>
      </w:r>
      <w:r>
        <w:t xml:space="preserve"> identified</w:t>
      </w:r>
      <w:r w:rsidR="00E54303" w:rsidRPr="0001713B">
        <w:t xml:space="preserve"> cohort</w:t>
      </w:r>
      <w:r w:rsidR="00E54303">
        <w:t xml:space="preserve"> is</w:t>
      </w:r>
      <w:r w:rsidR="00E54303" w:rsidRPr="0001713B">
        <w:t xml:space="preserve"> </w:t>
      </w:r>
      <w:r w:rsidR="00E54303" w:rsidRPr="008E519F">
        <w:rPr>
          <w:b/>
          <w:bCs/>
        </w:rPr>
        <w:t>39 individuals</w:t>
      </w:r>
      <w:r w:rsidR="00E54303" w:rsidRPr="0001713B">
        <w:t xml:space="preserve"> (21 children, 18 adults).</w:t>
      </w:r>
    </w:p>
    <w:p w14:paraId="458E9F1F" w14:textId="6CBF950C" w:rsidR="0001713B" w:rsidRPr="0001713B" w:rsidRDefault="0001713B" w:rsidP="008E519F">
      <w:pPr>
        <w:pStyle w:val="ListParagraph"/>
        <w:numPr>
          <w:ilvl w:val="0"/>
          <w:numId w:val="5"/>
        </w:numPr>
      </w:pPr>
      <w:r w:rsidRPr="0001713B">
        <w:t>Partnership working with social care, health, and education</w:t>
      </w:r>
      <w:r w:rsidR="00D972A3">
        <w:t xml:space="preserve"> to ensure wr</w:t>
      </w:r>
      <w:r w:rsidR="003E13E8">
        <w:t>a</w:t>
      </w:r>
      <w:r w:rsidR="00D972A3">
        <w:t xml:space="preserve">p around support away from risky behaviour </w:t>
      </w:r>
      <w:r w:rsidR="00CF4F11">
        <w:t xml:space="preserve">or to enforce the law. </w:t>
      </w:r>
    </w:p>
    <w:p w14:paraId="3B0250C2" w14:textId="77777777" w:rsidR="008E519F" w:rsidRDefault="0001713B" w:rsidP="008E519F">
      <w:pPr>
        <w:pStyle w:val="ListParagraph"/>
        <w:numPr>
          <w:ilvl w:val="0"/>
          <w:numId w:val="6"/>
        </w:numPr>
      </w:pPr>
      <w:r w:rsidRPr="0001713B">
        <w:lastRenderedPageBreak/>
        <w:t>Multi-agency intervention and diversion strategies.</w:t>
      </w:r>
    </w:p>
    <w:p w14:paraId="399B21DF" w14:textId="20AD7F88" w:rsidR="0001713B" w:rsidRPr="0001713B" w:rsidRDefault="0001713B" w:rsidP="008E519F">
      <w:pPr>
        <w:pStyle w:val="ListParagraph"/>
        <w:numPr>
          <w:ilvl w:val="0"/>
          <w:numId w:val="6"/>
        </w:numPr>
      </w:pPr>
      <w:r w:rsidRPr="0001713B">
        <w:t xml:space="preserve">Impact: </w:t>
      </w:r>
      <w:r w:rsidRPr="008E519F">
        <w:rPr>
          <w:b/>
          <w:bCs/>
        </w:rPr>
        <w:t>41% diverted away from crime</w:t>
      </w:r>
      <w:r w:rsidRPr="0001713B">
        <w:t xml:space="preserve"> successfully.</w:t>
      </w:r>
    </w:p>
    <w:p w14:paraId="2A4951BE" w14:textId="656C05C7" w:rsidR="008E519F" w:rsidRDefault="00D66609" w:rsidP="008E519F">
      <w:pPr>
        <w:pStyle w:val="ListParagraph"/>
        <w:numPr>
          <w:ilvl w:val="0"/>
          <w:numId w:val="6"/>
        </w:numPr>
      </w:pPr>
      <w:r>
        <w:t>There is a s</w:t>
      </w:r>
      <w:r w:rsidR="0001713B" w:rsidRPr="0001713B">
        <w:t xml:space="preserve">trong focus on </w:t>
      </w:r>
      <w:r>
        <w:t xml:space="preserve">prevention and education with </w:t>
      </w:r>
      <w:r w:rsidR="0001713B" w:rsidRPr="0001713B">
        <w:t>schools, colleges, and universities.</w:t>
      </w:r>
    </w:p>
    <w:p w14:paraId="7C97A66D" w14:textId="1F175EAC" w:rsidR="00747FC7" w:rsidRDefault="00747FC7" w:rsidP="00DC6AE1">
      <w:pPr>
        <w:pStyle w:val="ListParagraph"/>
        <w:numPr>
          <w:ilvl w:val="0"/>
          <w:numId w:val="6"/>
        </w:numPr>
      </w:pPr>
      <w:r w:rsidRPr="00A7078F">
        <w:t>Strengthening whole</w:t>
      </w:r>
      <w:r w:rsidRPr="00A7078F">
        <w:noBreakHyphen/>
        <w:t>community vigilance, encouraging parents, families, schools and wider networks to identify and report risks earlier.</w:t>
      </w:r>
    </w:p>
    <w:p w14:paraId="023057BD" w14:textId="77777777" w:rsidR="008E519F" w:rsidRDefault="0001713B" w:rsidP="008E519F">
      <w:pPr>
        <w:pStyle w:val="ListParagraph"/>
        <w:numPr>
          <w:ilvl w:val="0"/>
          <w:numId w:val="6"/>
        </w:numPr>
      </w:pPr>
      <w:r w:rsidRPr="0001713B">
        <w:t xml:space="preserve">Messaging: </w:t>
      </w:r>
      <w:r w:rsidRPr="00DC6AE1">
        <w:rPr>
          <w:b/>
          <w:bCs/>
        </w:rPr>
        <w:t>“Don’t carry knives – it won’t keep you safe.”</w:t>
      </w:r>
    </w:p>
    <w:p w14:paraId="1C5D3B48" w14:textId="5DD2AF6E" w:rsidR="00DC34EF" w:rsidRDefault="0001713B" w:rsidP="00795815">
      <w:pPr>
        <w:pStyle w:val="ListParagraph"/>
        <w:numPr>
          <w:ilvl w:val="0"/>
          <w:numId w:val="6"/>
        </w:numPr>
      </w:pPr>
      <w:r w:rsidRPr="0001713B">
        <w:t>Community engagement</w:t>
      </w:r>
      <w:r w:rsidR="00DC6AE1">
        <w:t xml:space="preserve">, </w:t>
      </w:r>
      <w:r w:rsidRPr="0001713B">
        <w:t>visibility in hotspot areas</w:t>
      </w:r>
      <w:r w:rsidR="00DC6AE1">
        <w:t xml:space="preserve"> and expanding p</w:t>
      </w:r>
      <w:r w:rsidR="00DC34EF" w:rsidRPr="00DC34EF">
        <w:t>lace</w:t>
      </w:r>
      <w:r w:rsidR="00DC34EF" w:rsidRPr="00DC34EF">
        <w:noBreakHyphen/>
        <w:t>based partnership approaches</w:t>
      </w:r>
      <w:r w:rsidR="00DC34EF" w:rsidRPr="00A7078F">
        <w:t xml:space="preserve"> such as the </w:t>
      </w:r>
      <w:r w:rsidR="00E64F0E">
        <w:t>‘</w:t>
      </w:r>
      <w:r w:rsidR="00DC34EF" w:rsidRPr="00DC6AE1">
        <w:t>Clear, Hold, Build</w:t>
      </w:r>
      <w:r w:rsidR="00E64F0E">
        <w:t>’</w:t>
      </w:r>
      <w:r w:rsidR="00DC34EF" w:rsidRPr="00A7078F">
        <w:t xml:space="preserve"> model </w:t>
      </w:r>
    </w:p>
    <w:p w14:paraId="49E74C70" w14:textId="587C74A7" w:rsidR="00795815" w:rsidRDefault="00795815" w:rsidP="00795815">
      <w:r w:rsidRPr="00795815">
        <w:pict w14:anchorId="496C3D67">
          <v:rect id="_x0000_i1059" style="width:0;height:1.5pt" o:hralign="center" o:hrstd="t" o:hr="t" fillcolor="#a0a0a0" stroked="f"/>
        </w:pict>
      </w:r>
    </w:p>
    <w:p w14:paraId="37C5DE9B" w14:textId="0884BD52" w:rsidR="00A7078F" w:rsidRPr="00A7078F" w:rsidRDefault="00DC6AE1" w:rsidP="00A7078F">
      <w:pPr>
        <w:rPr>
          <w:b/>
          <w:bCs/>
        </w:rPr>
      </w:pPr>
      <w:r w:rsidRPr="00DC6AE1">
        <w:rPr>
          <w:b/>
          <w:bCs/>
        </w:rPr>
        <w:t xml:space="preserve">Item 2: </w:t>
      </w:r>
      <w:r w:rsidR="00A7078F" w:rsidRPr="00A7078F">
        <w:rPr>
          <w:b/>
          <w:bCs/>
        </w:rPr>
        <w:t>County Lines</w:t>
      </w:r>
    </w:p>
    <w:p w14:paraId="305BACCF" w14:textId="4433D515" w:rsidR="00C53EC3" w:rsidRDefault="00A7078F" w:rsidP="00D66609">
      <w:pPr>
        <w:pStyle w:val="ListParagraph"/>
        <w:numPr>
          <w:ilvl w:val="0"/>
          <w:numId w:val="6"/>
        </w:numPr>
      </w:pPr>
      <w:r w:rsidRPr="00A7078F">
        <w:t xml:space="preserve">Hertfordshire currently assesses </w:t>
      </w:r>
      <w:r w:rsidRPr="004C1E08">
        <w:rPr>
          <w:b/>
          <w:bCs/>
        </w:rPr>
        <w:t>19 active county lines operating in the county.</w:t>
      </w:r>
      <w:r w:rsidR="00EE14F0">
        <w:t xml:space="preserve"> </w:t>
      </w:r>
      <w:r w:rsidRPr="00A7078F">
        <w:t xml:space="preserve">The dedicated County Lines team continues to achieve strong results: </w:t>
      </w:r>
    </w:p>
    <w:p w14:paraId="2410A3F4" w14:textId="27101E00" w:rsidR="00DC6AE1" w:rsidRPr="00DC6AE1" w:rsidRDefault="00A7078F" w:rsidP="00D66609">
      <w:pPr>
        <w:pStyle w:val="ListParagraph"/>
        <w:numPr>
          <w:ilvl w:val="0"/>
          <w:numId w:val="6"/>
        </w:numPr>
      </w:pPr>
      <w:r w:rsidRPr="00A7078F">
        <w:rPr>
          <w:b/>
          <w:bCs/>
        </w:rPr>
        <w:t>51 lines dismantled</w:t>
      </w:r>
      <w:r w:rsidRPr="00A7078F">
        <w:t xml:space="preserve"> </w:t>
      </w:r>
      <w:r w:rsidR="00A70729">
        <w:t>between</w:t>
      </w:r>
      <w:r w:rsidRPr="00A7078F">
        <w:t xml:space="preserve"> January</w:t>
      </w:r>
      <w:r w:rsidR="00BF46A6">
        <w:t xml:space="preserve"> 2025</w:t>
      </w:r>
      <w:r w:rsidR="00A70729">
        <w:t xml:space="preserve"> and October 2025</w:t>
      </w:r>
      <w:r w:rsidR="00DC6AE1">
        <w:t xml:space="preserve">, </w:t>
      </w:r>
      <w:r w:rsidRPr="00A7078F">
        <w:rPr>
          <w:b/>
          <w:bCs/>
        </w:rPr>
        <w:t>81 arrests</w:t>
      </w:r>
      <w:r w:rsidR="00DC6AE1" w:rsidRPr="00D66609">
        <w:rPr>
          <w:b/>
          <w:bCs/>
        </w:rPr>
        <w:t xml:space="preserve">, </w:t>
      </w:r>
      <w:r w:rsidR="00DC6AE1" w:rsidRPr="00D66609">
        <w:t>a</w:t>
      </w:r>
      <w:r w:rsidRPr="00A7078F">
        <w:t>pproximately</w:t>
      </w:r>
      <w:r w:rsidRPr="00A7078F">
        <w:rPr>
          <w:b/>
          <w:bCs/>
        </w:rPr>
        <w:t xml:space="preserve"> £250,000 of drugs seized</w:t>
      </w:r>
      <w:r w:rsidR="00DC6AE1" w:rsidRPr="00D66609">
        <w:rPr>
          <w:b/>
          <w:bCs/>
        </w:rPr>
        <w:t xml:space="preserve">, </w:t>
      </w:r>
      <w:r w:rsidRPr="00A7078F">
        <w:rPr>
          <w:b/>
          <w:bCs/>
        </w:rPr>
        <w:t>£50,000 in criminal cash recovered</w:t>
      </w:r>
      <w:r w:rsidR="00DC6AE1" w:rsidRPr="00D66609">
        <w:rPr>
          <w:b/>
          <w:bCs/>
        </w:rPr>
        <w:t xml:space="preserve">, </w:t>
      </w:r>
      <w:r w:rsidRPr="00A7078F">
        <w:rPr>
          <w:b/>
          <w:bCs/>
        </w:rPr>
        <w:t>12 firearms (real/imitation) and 37 knives removed</w:t>
      </w:r>
      <w:r w:rsidR="00DC6AE1">
        <w:t xml:space="preserve">. </w:t>
      </w:r>
      <w:r w:rsidRPr="00A7078F">
        <w:t xml:space="preserve">20 vulnerable individuals </w:t>
      </w:r>
      <w:r w:rsidR="00DC6AE1" w:rsidRPr="00D66609">
        <w:t xml:space="preserve">were </w:t>
      </w:r>
      <w:r w:rsidRPr="00A7078F">
        <w:t>safeguarde</w:t>
      </w:r>
      <w:r w:rsidR="00DC6AE1" w:rsidRPr="00D66609">
        <w:t>d</w:t>
      </w:r>
    </w:p>
    <w:p w14:paraId="38402B33" w14:textId="77777777" w:rsidR="00D66609" w:rsidRDefault="00C53EC3" w:rsidP="00D66609">
      <w:pPr>
        <w:pStyle w:val="ListParagraph"/>
        <w:numPr>
          <w:ilvl w:val="0"/>
          <w:numId w:val="6"/>
        </w:numPr>
      </w:pPr>
      <w:r>
        <w:t>There is a s</w:t>
      </w:r>
      <w:r w:rsidR="00A7078F" w:rsidRPr="00A7078F">
        <w:t>trong emphasis on identifying and safeguarding victims exploited through county lines, including: Young people going missing</w:t>
      </w:r>
      <w:r>
        <w:t xml:space="preserve"> and </w:t>
      </w:r>
      <w:r w:rsidR="00A7078F" w:rsidRPr="00A7078F">
        <w:t>Adults whose homes are used for drug dealing (“cuckooing”)</w:t>
      </w:r>
      <w:r w:rsidR="00D66609">
        <w:t>.</w:t>
      </w:r>
    </w:p>
    <w:p w14:paraId="209279A2" w14:textId="77777777" w:rsidR="00D66609" w:rsidRDefault="00A7078F" w:rsidP="00D66609">
      <w:pPr>
        <w:pStyle w:val="ListParagraph"/>
        <w:numPr>
          <w:ilvl w:val="0"/>
          <w:numId w:val="6"/>
        </w:numPr>
      </w:pPr>
      <w:r w:rsidRPr="00E0024D">
        <w:rPr>
          <w:b/>
          <w:bCs/>
        </w:rPr>
        <w:t>Multi</w:t>
      </w:r>
      <w:r w:rsidRPr="00E0024D">
        <w:rPr>
          <w:b/>
          <w:bCs/>
        </w:rPr>
        <w:noBreakHyphen/>
        <w:t>agency work</w:t>
      </w:r>
      <w:r w:rsidRPr="00A7078F">
        <w:t xml:space="preserve"> involves children’s services, adult social care, health and education.</w:t>
      </w:r>
    </w:p>
    <w:p w14:paraId="11AFCEF0" w14:textId="41A2E0AF" w:rsidR="00A7078F" w:rsidRDefault="00A7078F" w:rsidP="00D66609">
      <w:pPr>
        <w:pStyle w:val="ListParagraph"/>
        <w:numPr>
          <w:ilvl w:val="0"/>
          <w:numId w:val="6"/>
        </w:numPr>
      </w:pPr>
      <w:r w:rsidRPr="00A7078F">
        <w:t xml:space="preserve">Preparations are underway for forthcoming legislation to make </w:t>
      </w:r>
      <w:r w:rsidRPr="00D66609">
        <w:rPr>
          <w:b/>
          <w:bCs/>
        </w:rPr>
        <w:t>cuckooing a specific criminal offence</w:t>
      </w:r>
      <w:r w:rsidRPr="00A7078F">
        <w:t>, including training and updated investigative processes.</w:t>
      </w:r>
    </w:p>
    <w:p w14:paraId="7AC69FA4" w14:textId="34E514D2" w:rsidR="00795815" w:rsidRPr="00A7078F" w:rsidRDefault="00795815" w:rsidP="00795815">
      <w:r w:rsidRPr="00795815">
        <w:pict w14:anchorId="30E74F97">
          <v:rect id="_x0000_i1057" style="width:0;height:1.5pt" o:hralign="center" o:hrstd="t" o:hr="t" fillcolor="#a0a0a0" stroked="f"/>
        </w:pict>
      </w:r>
    </w:p>
    <w:p w14:paraId="20A28CA7" w14:textId="3A949E71" w:rsidR="00A7078F" w:rsidRPr="00A7078F" w:rsidRDefault="00E64F0E" w:rsidP="00A7078F">
      <w:pPr>
        <w:rPr>
          <w:b/>
          <w:bCs/>
        </w:rPr>
      </w:pPr>
      <w:r>
        <w:rPr>
          <w:b/>
          <w:bCs/>
        </w:rPr>
        <w:t xml:space="preserve">Item 3: </w:t>
      </w:r>
      <w:r w:rsidR="00A7078F" w:rsidRPr="00A7078F">
        <w:rPr>
          <w:b/>
          <w:bCs/>
        </w:rPr>
        <w:t>Serious Violence Duty</w:t>
      </w:r>
    </w:p>
    <w:p w14:paraId="13D15448" w14:textId="77777777" w:rsidR="00D66609" w:rsidRDefault="00A7078F" w:rsidP="00D66609">
      <w:pPr>
        <w:pStyle w:val="ListParagraph"/>
        <w:numPr>
          <w:ilvl w:val="0"/>
          <w:numId w:val="6"/>
        </w:numPr>
      </w:pPr>
      <w:r w:rsidRPr="00A7078F">
        <w:t xml:space="preserve">The Constabulary </w:t>
      </w:r>
      <w:r w:rsidR="00795815">
        <w:t xml:space="preserve">fulfils its </w:t>
      </w:r>
      <w:r w:rsidR="00795815" w:rsidRPr="00D66609">
        <w:rPr>
          <w:b/>
          <w:bCs/>
        </w:rPr>
        <w:t>Serious Violence Duty</w:t>
      </w:r>
      <w:r w:rsidR="00795815">
        <w:t xml:space="preserve"> through </w:t>
      </w:r>
      <w:r w:rsidR="00795815" w:rsidRPr="00D66609">
        <w:t xml:space="preserve">strong engagement with </w:t>
      </w:r>
      <w:r w:rsidR="00DC5FB4" w:rsidRPr="00D66609">
        <w:t xml:space="preserve">statutory </w:t>
      </w:r>
      <w:r w:rsidR="00795815" w:rsidRPr="00D66609">
        <w:t>partnership</w:t>
      </w:r>
      <w:r w:rsidR="001850F7" w:rsidRPr="00D66609">
        <w:t>s</w:t>
      </w:r>
      <w:r w:rsidR="001850F7">
        <w:t xml:space="preserve"> and shares and combines </w:t>
      </w:r>
      <w:r w:rsidR="00DC5FB4">
        <w:t xml:space="preserve">a range of data </w:t>
      </w:r>
      <w:r w:rsidR="00925AD7">
        <w:t>(e.g. A&amp;E admissions, school disclosures)</w:t>
      </w:r>
      <w:r w:rsidR="001850F7">
        <w:t xml:space="preserve"> to understand harm, hotspots, repeat victims/offenders and emerging risks.</w:t>
      </w:r>
    </w:p>
    <w:p w14:paraId="5A67BB6C" w14:textId="2A7634B9" w:rsidR="00A7078F" w:rsidRDefault="00925AD7" w:rsidP="00D66609">
      <w:pPr>
        <w:pStyle w:val="ListParagraph"/>
        <w:numPr>
          <w:ilvl w:val="0"/>
          <w:numId w:val="6"/>
        </w:numPr>
      </w:pPr>
      <w:r>
        <w:t>Th</w:t>
      </w:r>
      <w:r w:rsidR="009C470F">
        <w:t xml:space="preserve">ere </w:t>
      </w:r>
      <w:proofErr w:type="gramStart"/>
      <w:r w:rsidR="009C470F">
        <w:t>is</w:t>
      </w:r>
      <w:proofErr w:type="gramEnd"/>
      <w:r w:rsidR="009C470F">
        <w:t xml:space="preserve"> </w:t>
      </w:r>
      <w:r>
        <w:t>a c</w:t>
      </w:r>
      <w:r w:rsidR="00A7078F" w:rsidRPr="00A7078F">
        <w:t xml:space="preserve">ountywide </w:t>
      </w:r>
      <w:r w:rsidR="00A7078F" w:rsidRPr="00A7078F">
        <w:rPr>
          <w:b/>
          <w:bCs/>
        </w:rPr>
        <w:t>serious violence strategy</w:t>
      </w:r>
      <w:r w:rsidRPr="00D66609">
        <w:rPr>
          <w:b/>
          <w:bCs/>
        </w:rPr>
        <w:t xml:space="preserve"> and a new </w:t>
      </w:r>
      <w:r w:rsidR="00A7078F" w:rsidRPr="00A7078F">
        <w:rPr>
          <w:b/>
          <w:bCs/>
        </w:rPr>
        <w:t xml:space="preserve">serious violence dashboard </w:t>
      </w:r>
      <w:r w:rsidR="00A7078F" w:rsidRPr="00A7078F">
        <w:t>to support targeted, timely policing responses.</w:t>
      </w:r>
    </w:p>
    <w:p w14:paraId="34236860" w14:textId="77777777" w:rsidR="00D66609" w:rsidRDefault="00AF4381" w:rsidP="00D66609">
      <w:pPr>
        <w:pStyle w:val="ListParagraph"/>
        <w:numPr>
          <w:ilvl w:val="0"/>
          <w:numId w:val="6"/>
        </w:numPr>
      </w:pPr>
      <w:r>
        <w:t xml:space="preserve">Process of </w:t>
      </w:r>
      <w:r w:rsidRPr="00D66609">
        <w:rPr>
          <w:b/>
          <w:bCs/>
        </w:rPr>
        <w:t xml:space="preserve">continuous data monitoring and </w:t>
      </w:r>
      <w:r w:rsidR="00CE4ADC" w:rsidRPr="00D66609">
        <w:rPr>
          <w:b/>
          <w:bCs/>
        </w:rPr>
        <w:t>tracking</w:t>
      </w:r>
      <w:r w:rsidR="001C1BC6" w:rsidRPr="00D66609">
        <w:rPr>
          <w:b/>
          <w:bCs/>
        </w:rPr>
        <w:t xml:space="preserve">, </w:t>
      </w:r>
      <w:r w:rsidR="001C1BC6">
        <w:t xml:space="preserve">reviewing hotspots, harm, types of violence and long-term movement. </w:t>
      </w:r>
    </w:p>
    <w:p w14:paraId="0DBB4453" w14:textId="4D6801A4" w:rsidR="00A7078F" w:rsidRPr="0001713B" w:rsidRDefault="00D66609" w:rsidP="00D66609">
      <w:pPr>
        <w:pStyle w:val="ListParagraph"/>
        <w:numPr>
          <w:ilvl w:val="0"/>
          <w:numId w:val="6"/>
        </w:numPr>
      </w:pPr>
      <w:r>
        <w:t>W</w:t>
      </w:r>
      <w:r w:rsidR="007B26B2">
        <w:t>hilst Hertfordshire is a low violence county,</w:t>
      </w:r>
      <w:r w:rsidR="00F6563D">
        <w:t xml:space="preserve"> the Constabulary are not complacent. </w:t>
      </w:r>
    </w:p>
    <w:p w14:paraId="21BE8B23" w14:textId="37852CD6" w:rsidR="009C470F" w:rsidRDefault="00795815">
      <w:r w:rsidRPr="00795815">
        <w:lastRenderedPageBreak/>
        <w:pict w14:anchorId="113BE5BA">
          <v:rect id="_x0000_i1052" style="width:0;height:1.5pt" o:hralign="center" o:hrstd="t" o:hr="t" fillcolor="#a0a0a0" stroked="f"/>
        </w:pict>
      </w:r>
    </w:p>
    <w:p w14:paraId="7AA8E172" w14:textId="77777777" w:rsidR="009C470F" w:rsidRDefault="009C470F" w:rsidP="009C470F">
      <w:pPr>
        <w:spacing w:line="240" w:lineRule="auto"/>
        <w:rPr>
          <w:b/>
          <w:bCs/>
        </w:rPr>
      </w:pPr>
      <w:r w:rsidRPr="00E01517">
        <w:rPr>
          <w:b/>
          <w:bCs/>
        </w:rPr>
        <w:t>Item 4: Fraud and Scams</w:t>
      </w:r>
    </w:p>
    <w:p w14:paraId="12131E35" w14:textId="0F37EB73" w:rsidR="006B6647" w:rsidRPr="005B5D4C" w:rsidRDefault="00294419" w:rsidP="00A05163">
      <w:pPr>
        <w:pStyle w:val="ListParagraph"/>
        <w:numPr>
          <w:ilvl w:val="0"/>
          <w:numId w:val="6"/>
        </w:numPr>
      </w:pPr>
      <w:r w:rsidRPr="005B5D4C">
        <w:t xml:space="preserve">Fraud represents nearly </w:t>
      </w:r>
      <w:r w:rsidRPr="00A05163">
        <w:rPr>
          <w:b/>
          <w:bCs/>
        </w:rPr>
        <w:t>40% of all crime nationally.</w:t>
      </w:r>
    </w:p>
    <w:p w14:paraId="1DC3E881" w14:textId="77777777" w:rsidR="0031613A" w:rsidRDefault="00395FD4" w:rsidP="00A05163">
      <w:pPr>
        <w:pStyle w:val="ListParagraph"/>
        <w:numPr>
          <w:ilvl w:val="0"/>
          <w:numId w:val="6"/>
        </w:numPr>
      </w:pPr>
      <w:r w:rsidRPr="005B5D4C">
        <w:t xml:space="preserve">Current risk and types of Fraud: Courier Fraud, Dating/Romance Fraud, Investment Fraud and Mandate </w:t>
      </w:r>
      <w:r w:rsidR="0093252C" w:rsidRPr="005B5D4C">
        <w:t xml:space="preserve">Fraud. </w:t>
      </w:r>
    </w:p>
    <w:p w14:paraId="13C6E043" w14:textId="4C7ACAD3" w:rsidR="006B6647" w:rsidRPr="005B5D4C" w:rsidRDefault="006B6647" w:rsidP="00A05163">
      <w:pPr>
        <w:pStyle w:val="ListParagraph"/>
        <w:numPr>
          <w:ilvl w:val="0"/>
          <w:numId w:val="6"/>
        </w:numPr>
      </w:pPr>
      <w:r w:rsidRPr="005B5D4C">
        <w:t xml:space="preserve">Hertfordshire have </w:t>
      </w:r>
      <w:r w:rsidR="0093252C" w:rsidRPr="005B5D4C">
        <w:t xml:space="preserve">seen </w:t>
      </w:r>
      <w:r w:rsidR="0093252C" w:rsidRPr="0031613A">
        <w:rPr>
          <w:b/>
          <w:bCs/>
        </w:rPr>
        <w:t>the number of offences being referred by Action Fraud reduce</w:t>
      </w:r>
      <w:r w:rsidRPr="0031613A">
        <w:rPr>
          <w:b/>
          <w:bCs/>
        </w:rPr>
        <w:t>,</w:t>
      </w:r>
      <w:r w:rsidR="0093252C" w:rsidRPr="0031613A">
        <w:rPr>
          <w:b/>
          <w:bCs/>
        </w:rPr>
        <w:t xml:space="preserve"> </w:t>
      </w:r>
      <w:r w:rsidR="0093252C" w:rsidRPr="005B5D4C">
        <w:t xml:space="preserve">but the financial loss per case is increasing across all categories. </w:t>
      </w:r>
    </w:p>
    <w:p w14:paraId="1D625F4C" w14:textId="39CA1EC1" w:rsidR="007F1519" w:rsidRPr="005B5D4C" w:rsidRDefault="009739DE" w:rsidP="00A05163">
      <w:pPr>
        <w:pStyle w:val="ListParagraph"/>
        <w:numPr>
          <w:ilvl w:val="0"/>
          <w:numId w:val="6"/>
        </w:numPr>
      </w:pPr>
      <w:r w:rsidRPr="005B5D4C">
        <w:t xml:space="preserve">The </w:t>
      </w:r>
      <w:r w:rsidR="007F1519" w:rsidRPr="005B5D4C">
        <w:t>C</w:t>
      </w:r>
      <w:r w:rsidRPr="005B5D4C">
        <w:t xml:space="preserve">onstabulary has a </w:t>
      </w:r>
      <w:r w:rsidRPr="00A05163">
        <w:rPr>
          <w:b/>
          <w:bCs/>
        </w:rPr>
        <w:t>specialist Fraud Investigation Team</w:t>
      </w:r>
      <w:r w:rsidRPr="005B5D4C">
        <w:t>, which currently solves around 1 in 4 cases referred.</w:t>
      </w:r>
    </w:p>
    <w:p w14:paraId="49A79C94" w14:textId="23558191" w:rsidR="005B5D4C" w:rsidRPr="005B5D4C" w:rsidRDefault="007F1519" w:rsidP="00A05163">
      <w:pPr>
        <w:pStyle w:val="ListParagraph"/>
        <w:numPr>
          <w:ilvl w:val="0"/>
          <w:numId w:val="6"/>
        </w:numPr>
      </w:pPr>
      <w:r w:rsidRPr="005B5D4C">
        <w:t xml:space="preserve">Prevention remains a key focus. </w:t>
      </w:r>
      <w:r w:rsidR="005B5D4C" w:rsidRPr="005B5D4C">
        <w:t xml:space="preserve">The </w:t>
      </w:r>
      <w:r w:rsidR="00A05163" w:rsidRPr="005B5D4C">
        <w:t>Constabulary</w:t>
      </w:r>
      <w:r w:rsidR="005B5D4C" w:rsidRPr="005B5D4C">
        <w:t xml:space="preserve"> has a</w:t>
      </w:r>
      <w:r w:rsidR="009739DE" w:rsidRPr="005B5D4C">
        <w:t xml:space="preserve"> </w:t>
      </w:r>
      <w:r w:rsidR="009739DE" w:rsidRPr="00A05163">
        <w:rPr>
          <w:b/>
          <w:bCs/>
        </w:rPr>
        <w:t>dedicated Fraud Prevention Officer and Cyber Protect Officers</w:t>
      </w:r>
      <w:r w:rsidR="009739DE" w:rsidRPr="005B5D4C">
        <w:t xml:space="preserve"> offering bespoke support to residents and businesses.</w:t>
      </w:r>
    </w:p>
    <w:p w14:paraId="492CE049" w14:textId="717FFF2F" w:rsidR="009739DE" w:rsidRPr="005B5D4C" w:rsidRDefault="009739DE" w:rsidP="00A05163">
      <w:pPr>
        <w:pStyle w:val="ListParagraph"/>
        <w:numPr>
          <w:ilvl w:val="0"/>
          <w:numId w:val="6"/>
        </w:numPr>
      </w:pPr>
      <w:r w:rsidRPr="005B5D4C">
        <w:t xml:space="preserve">Community outreach </w:t>
      </w:r>
      <w:r w:rsidR="005B5D4C" w:rsidRPr="005B5D4C">
        <w:t>events</w:t>
      </w:r>
      <w:r w:rsidR="005B5D4C" w:rsidRPr="00A05163">
        <w:rPr>
          <w:b/>
          <w:bCs/>
        </w:rPr>
        <w:t>:</w:t>
      </w:r>
      <w:r w:rsidRPr="00A05163">
        <w:rPr>
          <w:b/>
          <w:bCs/>
        </w:rPr>
        <w:t xml:space="preserve"> 133 sessions</w:t>
      </w:r>
      <w:r w:rsidRPr="005B5D4C">
        <w:t xml:space="preserve"> have been delivered since January, reaching almost </w:t>
      </w:r>
      <w:r w:rsidRPr="00A05163">
        <w:rPr>
          <w:b/>
          <w:bCs/>
        </w:rPr>
        <w:t>7,000 people.</w:t>
      </w:r>
    </w:p>
    <w:p w14:paraId="59A51CCC" w14:textId="77777777" w:rsidR="009739DE" w:rsidRDefault="009739DE" w:rsidP="00A05163">
      <w:pPr>
        <w:pStyle w:val="ListParagraph"/>
        <w:numPr>
          <w:ilvl w:val="0"/>
          <w:numId w:val="6"/>
        </w:numPr>
      </w:pPr>
      <w:r w:rsidRPr="009739DE">
        <w:t xml:space="preserve">Partnership working with the </w:t>
      </w:r>
      <w:r w:rsidRPr="009739DE">
        <w:rPr>
          <w:b/>
          <w:bCs/>
        </w:rPr>
        <w:t>Beacon Fraud Hub</w:t>
      </w:r>
      <w:r w:rsidRPr="009739DE">
        <w:t xml:space="preserve"> to support victims and recover money where possible.</w:t>
      </w:r>
    </w:p>
    <w:p w14:paraId="2229E51D" w14:textId="50607656" w:rsidR="008764F3" w:rsidRPr="009739DE" w:rsidRDefault="008764F3" w:rsidP="008764F3">
      <w:r w:rsidRPr="00795815">
        <w:pict w14:anchorId="1F490C10">
          <v:rect id="_x0000_i1064" style="width:0;height:1.5pt" o:hralign="center" o:hrstd="t" o:hr="t" fillcolor="#a0a0a0" stroked="f"/>
        </w:pict>
      </w:r>
    </w:p>
    <w:p w14:paraId="3BDDBE89" w14:textId="77777777" w:rsidR="009C470F" w:rsidRDefault="009C470F" w:rsidP="009C470F">
      <w:pPr>
        <w:spacing w:line="240" w:lineRule="auto"/>
        <w:rPr>
          <w:b/>
          <w:bCs/>
        </w:rPr>
      </w:pPr>
      <w:r w:rsidRPr="00E01517">
        <w:rPr>
          <w:b/>
          <w:bCs/>
        </w:rPr>
        <w:t>Item 5: Op Hotspot half year update</w:t>
      </w:r>
    </w:p>
    <w:p w14:paraId="6249201E" w14:textId="2278A329" w:rsidR="00AD4BF6" w:rsidRPr="00AD4BF6" w:rsidRDefault="00AD4BF6" w:rsidP="00AD4BF6">
      <w:r w:rsidRPr="00AD4BF6">
        <w:t xml:space="preserve">The Chief Constable provided an update on </w:t>
      </w:r>
      <w:r w:rsidRPr="00AD4BF6">
        <w:rPr>
          <w:b/>
          <w:bCs/>
        </w:rPr>
        <w:t>Operation Hotspots</w:t>
      </w:r>
      <w:r w:rsidRPr="00AD4BF6">
        <w:t xml:space="preserve"> for the first half of the financial year (April–September</w:t>
      </w:r>
      <w:r w:rsidR="0031613A">
        <w:t xml:space="preserve"> 2025</w:t>
      </w:r>
      <w:r w:rsidRPr="00AD4BF6">
        <w:t>), focusing on increasing high</w:t>
      </w:r>
      <w:r w:rsidRPr="00AD4BF6">
        <w:noBreakHyphen/>
        <w:t>visibility patrols in town</w:t>
      </w:r>
      <w:r w:rsidRPr="00AD4BF6">
        <w:noBreakHyphen/>
        <w:t>centre crime and antisocial behaviour hotspots.</w:t>
      </w:r>
    </w:p>
    <w:p w14:paraId="2A620A0C" w14:textId="6DFBE18B" w:rsidR="00AD4BF6" w:rsidRPr="00AD4BF6" w:rsidRDefault="00AD4BF6" w:rsidP="00AD4BF6">
      <w:pPr>
        <w:rPr>
          <w:b/>
          <w:bCs/>
        </w:rPr>
      </w:pPr>
      <w:r w:rsidRPr="00AD4BF6">
        <w:rPr>
          <w:b/>
          <w:bCs/>
        </w:rPr>
        <w:t>Performance April–September</w:t>
      </w:r>
      <w:r w:rsidR="008764F3">
        <w:rPr>
          <w:b/>
          <w:bCs/>
        </w:rPr>
        <w:t xml:space="preserve"> 2025</w:t>
      </w:r>
    </w:p>
    <w:p w14:paraId="0E283E76" w14:textId="77777777" w:rsidR="00AD4BF6" w:rsidRPr="00AD4BF6" w:rsidRDefault="00AD4BF6" w:rsidP="00201559">
      <w:pPr>
        <w:pStyle w:val="ListParagraph"/>
        <w:numPr>
          <w:ilvl w:val="0"/>
          <w:numId w:val="6"/>
        </w:numPr>
      </w:pPr>
      <w:r w:rsidRPr="00AD4BF6">
        <w:rPr>
          <w:b/>
          <w:bCs/>
        </w:rPr>
        <w:t>16,000+ additional patrol hours</w:t>
      </w:r>
      <w:r w:rsidRPr="00AD4BF6">
        <w:t xml:space="preserve"> delivered in hotspot areas.</w:t>
      </w:r>
    </w:p>
    <w:p w14:paraId="38F0EF03" w14:textId="77777777" w:rsidR="00AD4BF6" w:rsidRPr="00AD4BF6" w:rsidRDefault="00AD4BF6" w:rsidP="00201559">
      <w:pPr>
        <w:pStyle w:val="ListParagraph"/>
        <w:numPr>
          <w:ilvl w:val="0"/>
          <w:numId w:val="6"/>
        </w:numPr>
      </w:pPr>
      <w:r w:rsidRPr="00AD4BF6">
        <w:t>Early indicators show performance ahead of last year’s strong results.</w:t>
      </w:r>
    </w:p>
    <w:p w14:paraId="0E0E1E22" w14:textId="09181B83" w:rsidR="00AD4BF6" w:rsidRPr="003F29EC" w:rsidRDefault="00AD4BF6" w:rsidP="003F29EC">
      <w:pPr>
        <w:rPr>
          <w:b/>
          <w:bCs/>
        </w:rPr>
      </w:pPr>
      <w:r w:rsidRPr="003F29EC">
        <w:rPr>
          <w:b/>
          <w:bCs/>
        </w:rPr>
        <w:t>Operational outcomes (first 6 months)</w:t>
      </w:r>
    </w:p>
    <w:p w14:paraId="4EA6C23C" w14:textId="77777777" w:rsidR="00AD4BF6" w:rsidRPr="00AD4BF6" w:rsidRDefault="00AD4BF6" w:rsidP="00201559">
      <w:pPr>
        <w:pStyle w:val="ListParagraph"/>
        <w:numPr>
          <w:ilvl w:val="0"/>
          <w:numId w:val="6"/>
        </w:numPr>
      </w:pPr>
      <w:r w:rsidRPr="00AD4BF6">
        <w:rPr>
          <w:b/>
          <w:bCs/>
        </w:rPr>
        <w:t>225 arrests</w:t>
      </w:r>
      <w:r w:rsidRPr="00AD4BF6">
        <w:t xml:space="preserve"> (ahead of last year’s annual profile of 333).</w:t>
      </w:r>
    </w:p>
    <w:p w14:paraId="6E76675D" w14:textId="77777777" w:rsidR="00AD4BF6" w:rsidRPr="00AD4BF6" w:rsidRDefault="00AD4BF6" w:rsidP="00201559">
      <w:pPr>
        <w:pStyle w:val="ListParagraph"/>
        <w:numPr>
          <w:ilvl w:val="0"/>
          <w:numId w:val="6"/>
        </w:numPr>
      </w:pPr>
      <w:r w:rsidRPr="00AD4BF6">
        <w:rPr>
          <w:b/>
          <w:bCs/>
        </w:rPr>
        <w:t>393 stop and searches</w:t>
      </w:r>
      <w:r w:rsidRPr="00AD4BF6">
        <w:t xml:space="preserve"> conducted (on track to exceed last year’s 680).</w:t>
      </w:r>
    </w:p>
    <w:p w14:paraId="4F684662" w14:textId="77777777" w:rsidR="00AD4BF6" w:rsidRPr="00AD4BF6" w:rsidRDefault="00AD4BF6" w:rsidP="00201559">
      <w:pPr>
        <w:pStyle w:val="ListParagraph"/>
        <w:numPr>
          <w:ilvl w:val="0"/>
          <w:numId w:val="6"/>
        </w:numPr>
      </w:pPr>
      <w:r w:rsidRPr="00AD4BF6">
        <w:rPr>
          <w:b/>
          <w:bCs/>
        </w:rPr>
        <w:t>979 antisocial behaviour interventions</w:t>
      </w:r>
      <w:r w:rsidRPr="00AD4BF6">
        <w:t>, already 61% of last year’s total.</w:t>
      </w:r>
    </w:p>
    <w:p w14:paraId="6E60F125" w14:textId="77777777" w:rsidR="00AD4BF6" w:rsidRPr="00AD4BF6" w:rsidRDefault="00AD4BF6" w:rsidP="00201559">
      <w:pPr>
        <w:pStyle w:val="ListParagraph"/>
        <w:numPr>
          <w:ilvl w:val="0"/>
          <w:numId w:val="6"/>
        </w:numPr>
      </w:pPr>
      <w:r w:rsidRPr="00AD4BF6">
        <w:rPr>
          <w:b/>
          <w:bCs/>
        </w:rPr>
        <w:t>46 knives seized</w:t>
      </w:r>
      <w:r w:rsidRPr="00AD4BF6">
        <w:t>, equivalent to 88% of last year’s total (52).</w:t>
      </w:r>
    </w:p>
    <w:p w14:paraId="18100697" w14:textId="77777777" w:rsidR="00AD4BF6" w:rsidRPr="00AD4BF6" w:rsidRDefault="00AD4BF6" w:rsidP="00201559">
      <w:pPr>
        <w:pStyle w:val="ListParagraph"/>
        <w:numPr>
          <w:ilvl w:val="0"/>
          <w:numId w:val="6"/>
        </w:numPr>
      </w:pPr>
      <w:r w:rsidRPr="00AD4BF6">
        <w:rPr>
          <w:b/>
          <w:bCs/>
        </w:rPr>
        <w:t>1 firearm removed</w:t>
      </w:r>
      <w:r w:rsidRPr="00AD4BF6">
        <w:t xml:space="preserve"> from the streets.</w:t>
      </w:r>
    </w:p>
    <w:p w14:paraId="6880C784" w14:textId="298895F5" w:rsidR="00AD4BF6" w:rsidRPr="00AD4BF6" w:rsidRDefault="00AD4BF6" w:rsidP="008764F3">
      <w:pPr>
        <w:pStyle w:val="ListParagraph"/>
        <w:numPr>
          <w:ilvl w:val="0"/>
          <w:numId w:val="6"/>
        </w:numPr>
      </w:pPr>
      <w:r w:rsidRPr="00AD4BF6">
        <w:t>The constabulary reports these as strong signs of proactive policing and harm</w:t>
      </w:r>
      <w:r w:rsidRPr="00AD4BF6">
        <w:noBreakHyphen/>
        <w:t>reduction effectiveness.</w:t>
      </w:r>
    </w:p>
    <w:p w14:paraId="2F72F1BD" w14:textId="13C58452" w:rsidR="00AD4BF6" w:rsidRPr="00AD4BF6" w:rsidRDefault="00201559" w:rsidP="00201559">
      <w:pPr>
        <w:pStyle w:val="ListParagraph"/>
        <w:numPr>
          <w:ilvl w:val="0"/>
          <w:numId w:val="6"/>
        </w:numPr>
      </w:pPr>
      <w:r>
        <w:t>Hotspot patrols are also having s</w:t>
      </w:r>
      <w:r w:rsidR="00AD4BF6" w:rsidRPr="00AD4BF6">
        <w:t xml:space="preserve">ubstantial reductions in key crime types </w:t>
      </w:r>
      <w:r w:rsidR="00AD4BF6">
        <w:t>which show continued improvement following last year’s positive outcomes</w:t>
      </w:r>
    </w:p>
    <w:p w14:paraId="156820F3" w14:textId="5FADB76B" w:rsidR="00AD4BF6" w:rsidRPr="00AD4BF6" w:rsidRDefault="00AD4BF6" w:rsidP="00201559">
      <w:pPr>
        <w:pStyle w:val="ListParagraph"/>
        <w:numPr>
          <w:ilvl w:val="0"/>
          <w:numId w:val="6"/>
        </w:numPr>
      </w:pPr>
      <w:r w:rsidRPr="00AD4BF6">
        <w:t>Personal robbery</w:t>
      </w:r>
      <w:r w:rsidRPr="00AD4BF6">
        <w:rPr>
          <w:b/>
          <w:bCs/>
        </w:rPr>
        <w:t>: Hertford – 50% reduction</w:t>
      </w:r>
      <w:r w:rsidR="008D3F44" w:rsidRPr="008764F3">
        <w:rPr>
          <w:b/>
          <w:bCs/>
        </w:rPr>
        <w:t xml:space="preserve">; </w:t>
      </w:r>
      <w:r w:rsidRPr="00AD4BF6">
        <w:rPr>
          <w:b/>
          <w:bCs/>
        </w:rPr>
        <w:t>Watford – 65% reduction</w:t>
      </w:r>
    </w:p>
    <w:p w14:paraId="04432E38" w14:textId="1B06D548" w:rsidR="00AD4BF6" w:rsidRPr="00AD4BF6" w:rsidRDefault="00AD4BF6" w:rsidP="00201559">
      <w:pPr>
        <w:pStyle w:val="ListParagraph"/>
        <w:numPr>
          <w:ilvl w:val="0"/>
          <w:numId w:val="6"/>
        </w:numPr>
        <w:rPr>
          <w:b/>
          <w:bCs/>
        </w:rPr>
      </w:pPr>
      <w:r w:rsidRPr="00AD4BF6">
        <w:lastRenderedPageBreak/>
        <w:t xml:space="preserve">Violent crime reductions: </w:t>
      </w:r>
      <w:r w:rsidRPr="00AD4BF6">
        <w:rPr>
          <w:b/>
          <w:bCs/>
        </w:rPr>
        <w:t>Broxbourne – 16%</w:t>
      </w:r>
      <w:r w:rsidR="008D3F44" w:rsidRPr="008764F3">
        <w:rPr>
          <w:b/>
          <w:bCs/>
        </w:rPr>
        <w:t xml:space="preserve">, </w:t>
      </w:r>
      <w:r w:rsidRPr="00AD4BF6">
        <w:rPr>
          <w:b/>
          <w:bCs/>
        </w:rPr>
        <w:t>St Albans – 20</w:t>
      </w:r>
      <w:r w:rsidR="008D3F44" w:rsidRPr="008764F3">
        <w:rPr>
          <w:b/>
          <w:bCs/>
        </w:rPr>
        <w:t xml:space="preserve">%, </w:t>
      </w:r>
      <w:r w:rsidRPr="00AD4BF6">
        <w:rPr>
          <w:b/>
          <w:bCs/>
        </w:rPr>
        <w:t>East Herts – 22%</w:t>
      </w:r>
      <w:r w:rsidR="00E14DB0">
        <w:rPr>
          <w:b/>
          <w:bCs/>
        </w:rPr>
        <w:t>,</w:t>
      </w:r>
      <w:r w:rsidR="008D3F44" w:rsidRPr="008764F3">
        <w:rPr>
          <w:b/>
          <w:bCs/>
        </w:rPr>
        <w:t xml:space="preserve"> </w:t>
      </w:r>
      <w:r w:rsidRPr="00AD4BF6">
        <w:rPr>
          <w:b/>
          <w:bCs/>
        </w:rPr>
        <w:t>Dacorum – 15%</w:t>
      </w:r>
      <w:r w:rsidR="008D3F44" w:rsidRPr="008764F3">
        <w:rPr>
          <w:b/>
          <w:bCs/>
        </w:rPr>
        <w:t xml:space="preserve">, </w:t>
      </w:r>
      <w:r w:rsidR="00111F62">
        <w:rPr>
          <w:b/>
          <w:bCs/>
        </w:rPr>
        <w:t>Hertsmere</w:t>
      </w:r>
      <w:r w:rsidRPr="00AD4BF6">
        <w:rPr>
          <w:b/>
          <w:bCs/>
        </w:rPr>
        <w:t xml:space="preserve"> – 12.5%</w:t>
      </w:r>
    </w:p>
    <w:p w14:paraId="444C14E0" w14:textId="3401D1C9" w:rsidR="00AD4BF6" w:rsidRPr="00AD4BF6" w:rsidRDefault="00AD4BF6" w:rsidP="00201559">
      <w:pPr>
        <w:pStyle w:val="ListParagraph"/>
        <w:numPr>
          <w:ilvl w:val="0"/>
          <w:numId w:val="6"/>
        </w:numPr>
      </w:pPr>
      <w:r w:rsidRPr="00AD4BF6">
        <w:t xml:space="preserve">Some districts (e.g., </w:t>
      </w:r>
      <w:r w:rsidRPr="00201559">
        <w:t>Hemel Hempstead, Welwyn Hatfield</w:t>
      </w:r>
      <w:r w:rsidRPr="00AD4BF6">
        <w:t>) show lower numbers of completed patrols</w:t>
      </w:r>
      <w:r w:rsidR="00B86D79">
        <w:t xml:space="preserve"> which is due to capacity challenges</w:t>
      </w:r>
      <w:r w:rsidR="000B315F">
        <w:t xml:space="preserve"> as these are the busiest districts. </w:t>
      </w:r>
    </w:p>
    <w:p w14:paraId="4A21A555" w14:textId="77777777" w:rsidR="00AD4BF6" w:rsidRPr="00AD4BF6" w:rsidRDefault="00AD4BF6" w:rsidP="00201559">
      <w:pPr>
        <w:pStyle w:val="ListParagraph"/>
        <w:numPr>
          <w:ilvl w:val="0"/>
          <w:numId w:val="6"/>
        </w:numPr>
      </w:pPr>
      <w:r w:rsidRPr="00AD4BF6">
        <w:rPr>
          <w:b/>
          <w:bCs/>
        </w:rPr>
        <w:t>St Albans currently leads on patrol hours</w:t>
      </w:r>
      <w:r w:rsidRPr="00AD4BF6">
        <w:t>, with strong results including reductions in retail crime and positive public/retailer feedback.</w:t>
      </w:r>
    </w:p>
    <w:p w14:paraId="21528CBE" w14:textId="1800463D" w:rsidR="00AD4BF6" w:rsidRPr="00AD4BF6" w:rsidRDefault="00AD4BF6" w:rsidP="00201559">
      <w:pPr>
        <w:pStyle w:val="ListParagraph"/>
        <w:numPr>
          <w:ilvl w:val="0"/>
          <w:numId w:val="6"/>
        </w:numPr>
      </w:pPr>
      <w:r w:rsidRPr="00AD4BF6">
        <w:t xml:space="preserve">The </w:t>
      </w:r>
      <w:r w:rsidR="00C926B7">
        <w:t>C</w:t>
      </w:r>
      <w:r w:rsidRPr="00AD4BF6">
        <w:t xml:space="preserve">onstabulary expects to </w:t>
      </w:r>
      <w:r w:rsidRPr="00AD4BF6">
        <w:rPr>
          <w:b/>
          <w:bCs/>
        </w:rPr>
        <w:t>outperform last year’s overall results.</w:t>
      </w:r>
    </w:p>
    <w:p w14:paraId="7CCA5EEF" w14:textId="77777777" w:rsidR="009C470F" w:rsidRDefault="009C470F"/>
    <w:p w14:paraId="0176B952" w14:textId="210A19CC" w:rsidR="00C724B2" w:rsidRDefault="00C724B2"/>
    <w:sectPr w:rsidR="00C724B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8D42" w14:textId="77777777" w:rsidR="00065941" w:rsidRDefault="00065941" w:rsidP="00EC055F">
      <w:pPr>
        <w:spacing w:after="0" w:line="240" w:lineRule="auto"/>
      </w:pPr>
      <w:r>
        <w:separator/>
      </w:r>
    </w:p>
  </w:endnote>
  <w:endnote w:type="continuationSeparator" w:id="0">
    <w:p w14:paraId="518516EB" w14:textId="77777777" w:rsidR="00065941" w:rsidRDefault="00065941" w:rsidP="00EC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866301"/>
      <w:docPartObj>
        <w:docPartGallery w:val="Page Numbers (Bottom of Page)"/>
        <w:docPartUnique/>
      </w:docPartObj>
    </w:sdtPr>
    <w:sdtEndPr/>
    <w:sdtContent>
      <w:p w14:paraId="702ACA49" w14:textId="0988DC50" w:rsidR="003B334F" w:rsidRDefault="003B334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BCABD" w14:textId="77777777" w:rsidR="00EC055F" w:rsidRDefault="00EC0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8CE1" w14:textId="77777777" w:rsidR="00065941" w:rsidRDefault="00065941" w:rsidP="00EC055F">
      <w:pPr>
        <w:spacing w:after="0" w:line="240" w:lineRule="auto"/>
      </w:pPr>
      <w:r>
        <w:separator/>
      </w:r>
    </w:p>
  </w:footnote>
  <w:footnote w:type="continuationSeparator" w:id="0">
    <w:p w14:paraId="355DF9DC" w14:textId="77777777" w:rsidR="00065941" w:rsidRDefault="00065941" w:rsidP="00EC0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0C34"/>
    <w:multiLevelType w:val="multilevel"/>
    <w:tmpl w:val="B58A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4EC4"/>
    <w:multiLevelType w:val="hybridMultilevel"/>
    <w:tmpl w:val="8B04B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24E9"/>
    <w:multiLevelType w:val="multilevel"/>
    <w:tmpl w:val="5F1A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D47CF"/>
    <w:multiLevelType w:val="multilevel"/>
    <w:tmpl w:val="3FF0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C1EBF"/>
    <w:multiLevelType w:val="multilevel"/>
    <w:tmpl w:val="9780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F5AF0"/>
    <w:multiLevelType w:val="multilevel"/>
    <w:tmpl w:val="DED8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10A09"/>
    <w:multiLevelType w:val="multilevel"/>
    <w:tmpl w:val="59A8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E0D50"/>
    <w:multiLevelType w:val="multilevel"/>
    <w:tmpl w:val="B14A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35AAB"/>
    <w:multiLevelType w:val="multilevel"/>
    <w:tmpl w:val="24D0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25512"/>
    <w:multiLevelType w:val="multilevel"/>
    <w:tmpl w:val="962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43CB1"/>
    <w:multiLevelType w:val="multilevel"/>
    <w:tmpl w:val="113C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14F8F"/>
    <w:multiLevelType w:val="multilevel"/>
    <w:tmpl w:val="BDA8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50B0F"/>
    <w:multiLevelType w:val="multilevel"/>
    <w:tmpl w:val="DC3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94546"/>
    <w:multiLevelType w:val="multilevel"/>
    <w:tmpl w:val="C29E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334A69"/>
    <w:multiLevelType w:val="multilevel"/>
    <w:tmpl w:val="A89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C7F66"/>
    <w:multiLevelType w:val="multilevel"/>
    <w:tmpl w:val="A2AA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055B8"/>
    <w:multiLevelType w:val="hybridMultilevel"/>
    <w:tmpl w:val="5D448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731AC"/>
    <w:multiLevelType w:val="hybridMultilevel"/>
    <w:tmpl w:val="ED129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0223F"/>
    <w:multiLevelType w:val="multilevel"/>
    <w:tmpl w:val="17AA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342600"/>
    <w:multiLevelType w:val="multilevel"/>
    <w:tmpl w:val="017C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14D23"/>
    <w:multiLevelType w:val="multilevel"/>
    <w:tmpl w:val="201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472E54"/>
    <w:multiLevelType w:val="multilevel"/>
    <w:tmpl w:val="330A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DD1F90"/>
    <w:multiLevelType w:val="multilevel"/>
    <w:tmpl w:val="3FF0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A911B4"/>
    <w:multiLevelType w:val="multilevel"/>
    <w:tmpl w:val="D1E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AA65EC"/>
    <w:multiLevelType w:val="multilevel"/>
    <w:tmpl w:val="C94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A2D77"/>
    <w:multiLevelType w:val="multilevel"/>
    <w:tmpl w:val="D43A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4680F"/>
    <w:multiLevelType w:val="hybridMultilevel"/>
    <w:tmpl w:val="CD8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33C79"/>
    <w:multiLevelType w:val="hybridMultilevel"/>
    <w:tmpl w:val="6EF89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3791D"/>
    <w:multiLevelType w:val="multilevel"/>
    <w:tmpl w:val="3B92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B6BE3"/>
    <w:multiLevelType w:val="hybridMultilevel"/>
    <w:tmpl w:val="4498F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341740">
    <w:abstractNumId w:val="3"/>
  </w:num>
  <w:num w:numId="2" w16cid:durableId="1764691941">
    <w:abstractNumId w:val="23"/>
  </w:num>
  <w:num w:numId="3" w16cid:durableId="43647355">
    <w:abstractNumId w:val="26"/>
  </w:num>
  <w:num w:numId="4" w16cid:durableId="2015644586">
    <w:abstractNumId w:val="27"/>
  </w:num>
  <w:num w:numId="5" w16cid:durableId="524490713">
    <w:abstractNumId w:val="1"/>
  </w:num>
  <w:num w:numId="6" w16cid:durableId="130875936">
    <w:abstractNumId w:val="17"/>
  </w:num>
  <w:num w:numId="7" w16cid:durableId="588319169">
    <w:abstractNumId w:val="12"/>
  </w:num>
  <w:num w:numId="8" w16cid:durableId="1317301920">
    <w:abstractNumId w:val="25"/>
  </w:num>
  <w:num w:numId="9" w16cid:durableId="1345091756">
    <w:abstractNumId w:val="11"/>
  </w:num>
  <w:num w:numId="10" w16cid:durableId="1213232297">
    <w:abstractNumId w:val="18"/>
  </w:num>
  <w:num w:numId="11" w16cid:durableId="1882356211">
    <w:abstractNumId w:val="14"/>
  </w:num>
  <w:num w:numId="12" w16cid:durableId="1583568449">
    <w:abstractNumId w:val="19"/>
  </w:num>
  <w:num w:numId="13" w16cid:durableId="463157928">
    <w:abstractNumId w:val="24"/>
  </w:num>
  <w:num w:numId="14" w16cid:durableId="1776442828">
    <w:abstractNumId w:val="5"/>
  </w:num>
  <w:num w:numId="15" w16cid:durableId="2014333949">
    <w:abstractNumId w:val="10"/>
  </w:num>
  <w:num w:numId="16" w16cid:durableId="1745452470">
    <w:abstractNumId w:val="28"/>
  </w:num>
  <w:num w:numId="17" w16cid:durableId="110512197">
    <w:abstractNumId w:val="4"/>
  </w:num>
  <w:num w:numId="18" w16cid:durableId="921764213">
    <w:abstractNumId w:val="21"/>
  </w:num>
  <w:num w:numId="19" w16cid:durableId="1839227291">
    <w:abstractNumId w:val="2"/>
  </w:num>
  <w:num w:numId="20" w16cid:durableId="171336213">
    <w:abstractNumId w:val="20"/>
  </w:num>
  <w:num w:numId="21" w16cid:durableId="856230889">
    <w:abstractNumId w:val="0"/>
  </w:num>
  <w:num w:numId="22" w16cid:durableId="2131046792">
    <w:abstractNumId w:val="8"/>
  </w:num>
  <w:num w:numId="23" w16cid:durableId="264115500">
    <w:abstractNumId w:val="29"/>
  </w:num>
  <w:num w:numId="24" w16cid:durableId="928272616">
    <w:abstractNumId w:val="9"/>
  </w:num>
  <w:num w:numId="25" w16cid:durableId="1786997034">
    <w:abstractNumId w:val="7"/>
  </w:num>
  <w:num w:numId="26" w16cid:durableId="691106180">
    <w:abstractNumId w:val="13"/>
  </w:num>
  <w:num w:numId="27" w16cid:durableId="772551691">
    <w:abstractNumId w:val="6"/>
  </w:num>
  <w:num w:numId="28" w16cid:durableId="1410694007">
    <w:abstractNumId w:val="15"/>
  </w:num>
  <w:num w:numId="29" w16cid:durableId="1641307070">
    <w:abstractNumId w:val="22"/>
  </w:num>
  <w:num w:numId="30" w16cid:durableId="1752579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E0"/>
    <w:rsid w:val="0001713B"/>
    <w:rsid w:val="00051C57"/>
    <w:rsid w:val="00065941"/>
    <w:rsid w:val="000909E5"/>
    <w:rsid w:val="000B315F"/>
    <w:rsid w:val="000F1DCA"/>
    <w:rsid w:val="0011182E"/>
    <w:rsid w:val="00111F62"/>
    <w:rsid w:val="001364FD"/>
    <w:rsid w:val="00154336"/>
    <w:rsid w:val="001829E2"/>
    <w:rsid w:val="001850F7"/>
    <w:rsid w:val="001901BA"/>
    <w:rsid w:val="001C1BC6"/>
    <w:rsid w:val="001D5877"/>
    <w:rsid w:val="00201559"/>
    <w:rsid w:val="002024CB"/>
    <w:rsid w:val="002025BA"/>
    <w:rsid w:val="00285C52"/>
    <w:rsid w:val="00294419"/>
    <w:rsid w:val="002C230B"/>
    <w:rsid w:val="002E2809"/>
    <w:rsid w:val="002E5DEA"/>
    <w:rsid w:val="0031613A"/>
    <w:rsid w:val="003843CD"/>
    <w:rsid w:val="00395FD4"/>
    <w:rsid w:val="003B334F"/>
    <w:rsid w:val="003E13E8"/>
    <w:rsid w:val="003E39A8"/>
    <w:rsid w:val="003F24CA"/>
    <w:rsid w:val="003F29EC"/>
    <w:rsid w:val="00433B9B"/>
    <w:rsid w:val="00466660"/>
    <w:rsid w:val="004B1490"/>
    <w:rsid w:val="004B6CBB"/>
    <w:rsid w:val="004C1E08"/>
    <w:rsid w:val="004E2982"/>
    <w:rsid w:val="00540B0F"/>
    <w:rsid w:val="00563427"/>
    <w:rsid w:val="00593148"/>
    <w:rsid w:val="005B5D4C"/>
    <w:rsid w:val="005E062F"/>
    <w:rsid w:val="006438BE"/>
    <w:rsid w:val="00684331"/>
    <w:rsid w:val="0069185E"/>
    <w:rsid w:val="00693EFA"/>
    <w:rsid w:val="006B6647"/>
    <w:rsid w:val="00722588"/>
    <w:rsid w:val="00747FC7"/>
    <w:rsid w:val="00760469"/>
    <w:rsid w:val="00795815"/>
    <w:rsid w:val="007B26B2"/>
    <w:rsid w:val="007F1519"/>
    <w:rsid w:val="00813AA3"/>
    <w:rsid w:val="00843E20"/>
    <w:rsid w:val="00853235"/>
    <w:rsid w:val="008667F5"/>
    <w:rsid w:val="00866998"/>
    <w:rsid w:val="008764F3"/>
    <w:rsid w:val="008C5529"/>
    <w:rsid w:val="008D1AE7"/>
    <w:rsid w:val="008D3F44"/>
    <w:rsid w:val="008E519F"/>
    <w:rsid w:val="00925AD7"/>
    <w:rsid w:val="0093252C"/>
    <w:rsid w:val="009454A1"/>
    <w:rsid w:val="009739DE"/>
    <w:rsid w:val="009C470F"/>
    <w:rsid w:val="009C5498"/>
    <w:rsid w:val="009E2D93"/>
    <w:rsid w:val="009F291C"/>
    <w:rsid w:val="009F4ECA"/>
    <w:rsid w:val="00A00F7D"/>
    <w:rsid w:val="00A025F1"/>
    <w:rsid w:val="00A05163"/>
    <w:rsid w:val="00A70729"/>
    <w:rsid w:val="00A7078F"/>
    <w:rsid w:val="00A86D0C"/>
    <w:rsid w:val="00AD4BF6"/>
    <w:rsid w:val="00AE1973"/>
    <w:rsid w:val="00AF4381"/>
    <w:rsid w:val="00B86D79"/>
    <w:rsid w:val="00BC11FC"/>
    <w:rsid w:val="00BF46A6"/>
    <w:rsid w:val="00C24597"/>
    <w:rsid w:val="00C422F8"/>
    <w:rsid w:val="00C53EC3"/>
    <w:rsid w:val="00C724B2"/>
    <w:rsid w:val="00C74AF6"/>
    <w:rsid w:val="00C926B7"/>
    <w:rsid w:val="00CB2DD0"/>
    <w:rsid w:val="00CC08C8"/>
    <w:rsid w:val="00CE4ADC"/>
    <w:rsid w:val="00CF4F11"/>
    <w:rsid w:val="00D37C99"/>
    <w:rsid w:val="00D60419"/>
    <w:rsid w:val="00D66609"/>
    <w:rsid w:val="00D972A3"/>
    <w:rsid w:val="00DC34EF"/>
    <w:rsid w:val="00DC5FB4"/>
    <w:rsid w:val="00DC6AE1"/>
    <w:rsid w:val="00E0024D"/>
    <w:rsid w:val="00E01517"/>
    <w:rsid w:val="00E14DB0"/>
    <w:rsid w:val="00E52CE0"/>
    <w:rsid w:val="00E54303"/>
    <w:rsid w:val="00E64F0E"/>
    <w:rsid w:val="00E96E72"/>
    <w:rsid w:val="00EC055F"/>
    <w:rsid w:val="00EE14F0"/>
    <w:rsid w:val="00F30E46"/>
    <w:rsid w:val="00F37C0D"/>
    <w:rsid w:val="00F6563D"/>
    <w:rsid w:val="00F91429"/>
    <w:rsid w:val="00FA14E1"/>
    <w:rsid w:val="00FB616D"/>
    <w:rsid w:val="00FB6FFF"/>
    <w:rsid w:val="00FB7C8C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0DE7"/>
  <w15:chartTrackingRefBased/>
  <w15:docId w15:val="{DD881167-8174-445C-AF32-EF738178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C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55F"/>
  </w:style>
  <w:style w:type="paragraph" w:styleId="Footer">
    <w:name w:val="footer"/>
    <w:basedOn w:val="Normal"/>
    <w:link w:val="FooterChar"/>
    <w:uiPriority w:val="99"/>
    <w:unhideWhenUsed/>
    <w:rsid w:val="00EC0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829</Words>
  <Characters>5058</Characters>
  <Application>Microsoft Office Word</Application>
  <DocSecurity>0</DocSecurity>
  <Lines>112</Lines>
  <Paragraphs>61</Paragraphs>
  <ScaleCrop>false</ScaleCrop>
  <Company>BCH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BIRKHAMSHAW, Amie 8368</dc:creator>
  <cp:keywords/>
  <dc:description/>
  <cp:lastModifiedBy>BIRKHAMSHAW, Amie 8368</cp:lastModifiedBy>
  <cp:revision>3</cp:revision>
  <dcterms:created xsi:type="dcterms:W3CDTF">2026-01-19T21:10:00Z</dcterms:created>
  <dcterms:modified xsi:type="dcterms:W3CDTF">2026-01-20T13:57:00Z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2025-11-08T21:46:07Z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378da865-9d97-4dd9-9b5e-a7ccf33e0236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</Properties>
</file>