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2468" w14:textId="198FEE7B" w:rsidR="0087223D" w:rsidRDefault="00251503" w:rsidP="0087223D">
      <w:pPr>
        <w:spacing w:before="120" w:after="0" w:line="240" w:lineRule="auto"/>
        <w:ind w:left="426"/>
        <w:rPr>
          <w:rFonts w:asciiTheme="minorHAnsi" w:hAnsiTheme="minorHAnsi" w:cstheme="minorHAnsi"/>
          <w:b/>
          <w:color w:val="000000" w:themeColor="text1"/>
          <w:position w:val="-10"/>
          <w:sz w:val="40"/>
          <w:szCs w:val="40"/>
        </w:rPr>
      </w:pPr>
      <w:r>
        <w:rPr>
          <w:rFonts w:ascii="Aptos Display" w:hAnsi="Aptos Display"/>
          <w:noProof/>
        </w:rPr>
        <w:drawing>
          <wp:inline distT="0" distB="0" distL="0" distR="0" wp14:anchorId="41BC9696" wp14:editId="713409BD">
            <wp:extent cx="2596551" cy="948055"/>
            <wp:effectExtent l="0" t="0" r="0" b="4445"/>
            <wp:docPr id="298542114" name="Picture 1" descr="Hertfordshire Constabul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tfordshire Constabulary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56" cy="9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23D">
        <w:rPr>
          <w:noProof/>
          <w:position w:val="-10"/>
        </w:rPr>
        <w:t xml:space="preserve">        </w:t>
      </w:r>
      <w:r w:rsidR="0087223D">
        <w:rPr>
          <w:noProof/>
        </w:rPr>
        <w:drawing>
          <wp:inline distT="0" distB="0" distL="0" distR="0" wp14:anchorId="593A772E" wp14:editId="7BDD1177">
            <wp:extent cx="2310187" cy="794385"/>
            <wp:effectExtent l="0" t="0" r="0" b="5715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38" cy="82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91B5" w14:textId="77777777" w:rsidR="0087223D" w:rsidRPr="005E2615" w:rsidRDefault="0087223D" w:rsidP="0087223D">
      <w:pPr>
        <w:pStyle w:val="Head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E26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RESOURCES BOARD</w:t>
      </w:r>
    </w:p>
    <w:p w14:paraId="2237A433" w14:textId="4C659C8F" w:rsidR="0087223D" w:rsidRPr="005E2615" w:rsidRDefault="00F70DC1" w:rsidP="0087223D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5E2615">
        <w:rPr>
          <w:rFonts w:asciiTheme="minorHAnsi" w:hAnsiTheme="minorHAnsi" w:cstheme="minorHAnsi"/>
          <w:b/>
          <w:bCs/>
          <w:color w:val="FF0000"/>
        </w:rPr>
        <w:t xml:space="preserve">Minutes </w:t>
      </w:r>
      <w:r w:rsidR="00C465E4">
        <w:rPr>
          <w:rFonts w:asciiTheme="minorHAnsi" w:hAnsiTheme="minorHAnsi" w:cstheme="minorHAnsi"/>
          <w:b/>
          <w:bCs/>
          <w:color w:val="FF0000"/>
        </w:rPr>
        <w:t>– for publication</w:t>
      </w:r>
    </w:p>
    <w:p w14:paraId="4BA2EB07" w14:textId="5AE089A7" w:rsidR="0087223D" w:rsidRPr="005E2615" w:rsidRDefault="00C31167" w:rsidP="0087223D">
      <w:pPr>
        <w:pStyle w:val="NoSpacing"/>
        <w:jc w:val="center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11 March</w:t>
      </w:r>
      <w:r w:rsidR="003B1F49" w:rsidRPr="005E2615">
        <w:rPr>
          <w:rStyle w:val="Strong"/>
          <w:rFonts w:asciiTheme="minorHAnsi" w:hAnsiTheme="minorHAnsi" w:cstheme="minorHAnsi"/>
        </w:rPr>
        <w:t xml:space="preserve"> 2025</w:t>
      </w:r>
      <w:r w:rsidR="00F561C1">
        <w:rPr>
          <w:rStyle w:val="Strong"/>
          <w:rFonts w:asciiTheme="minorHAnsi" w:hAnsiTheme="minorHAnsi" w:cstheme="minorHAnsi"/>
        </w:rPr>
        <w:t xml:space="preserve"> @ 14.00</w:t>
      </w:r>
    </w:p>
    <w:p w14:paraId="441F55B7" w14:textId="0D565802" w:rsidR="0087223D" w:rsidRPr="005E2615" w:rsidRDefault="00C31167" w:rsidP="0087223D">
      <w:pPr>
        <w:pStyle w:val="NoSpacing"/>
        <w:jc w:val="center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Conference Room 20</w:t>
      </w:r>
    </w:p>
    <w:p w14:paraId="01283616" w14:textId="77777777" w:rsidR="0087223D" w:rsidRPr="005E2615" w:rsidRDefault="0087223D" w:rsidP="0087223D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7EAF8CFB" w14:textId="77777777" w:rsidR="0087223D" w:rsidRPr="005E2615" w:rsidRDefault="0087223D" w:rsidP="0087223D">
      <w:pPr>
        <w:spacing w:after="0"/>
        <w:rPr>
          <w:rStyle w:val="Strong"/>
          <w:rFonts w:asciiTheme="minorHAnsi" w:hAnsiTheme="minorHAnsi" w:cstheme="minorHAnsi"/>
        </w:rPr>
      </w:pPr>
      <w:r w:rsidRPr="005E2615">
        <w:rPr>
          <w:rStyle w:val="Strong"/>
          <w:rFonts w:asciiTheme="minorHAnsi" w:hAnsiTheme="minorHAnsi" w:cstheme="minorHAnsi"/>
        </w:rPr>
        <w:t>OPCC</w:t>
      </w:r>
    </w:p>
    <w:p w14:paraId="2FC072B8" w14:textId="77777777" w:rsidR="0087223D" w:rsidRPr="005E2615" w:rsidRDefault="0087223D" w:rsidP="0087223D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 w:rsidRPr="005E2615">
        <w:rPr>
          <w:rStyle w:val="Strong"/>
          <w:rFonts w:asciiTheme="minorHAnsi" w:hAnsiTheme="minorHAnsi" w:cstheme="minorHAnsi"/>
          <w:b w:val="0"/>
          <w:bCs w:val="0"/>
        </w:rPr>
        <w:t>PCC Jonathan Ash-Edwards (Chair)</w:t>
      </w:r>
    </w:p>
    <w:p w14:paraId="7498199C" w14:textId="2C267BF7" w:rsidR="006C16DF" w:rsidRPr="005E2615" w:rsidRDefault="006C16DF" w:rsidP="006C16DF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 w:rsidRPr="005E2615">
        <w:rPr>
          <w:rStyle w:val="Strong"/>
          <w:rFonts w:asciiTheme="minorHAnsi" w:hAnsiTheme="minorHAnsi" w:cstheme="minorHAnsi"/>
          <w:b w:val="0"/>
          <w:bCs w:val="0"/>
        </w:rPr>
        <w:t xml:space="preserve">Raf Hejne, </w:t>
      </w:r>
      <w:r w:rsidR="00A3332D" w:rsidRPr="005E2615">
        <w:rPr>
          <w:rStyle w:val="Strong"/>
          <w:rFonts w:asciiTheme="minorHAnsi" w:hAnsiTheme="minorHAnsi" w:cstheme="minorHAnsi"/>
          <w:b w:val="0"/>
          <w:bCs w:val="0"/>
        </w:rPr>
        <w:t xml:space="preserve">Interim </w:t>
      </w:r>
      <w:r w:rsidRPr="005E2615">
        <w:rPr>
          <w:rStyle w:val="Strong"/>
          <w:rFonts w:asciiTheme="minorHAnsi" w:hAnsiTheme="minorHAnsi" w:cstheme="minorHAnsi"/>
          <w:b w:val="0"/>
          <w:bCs w:val="0"/>
        </w:rPr>
        <w:t>Chief Executive</w:t>
      </w:r>
      <w:r w:rsidR="00A536FE" w:rsidRPr="005E2615">
        <w:rPr>
          <w:rStyle w:val="Strong"/>
          <w:rFonts w:asciiTheme="minorHAnsi" w:hAnsiTheme="minorHAnsi" w:cstheme="minorHAnsi"/>
          <w:b w:val="0"/>
          <w:bCs w:val="0"/>
        </w:rPr>
        <w:t xml:space="preserve"> (RH)</w:t>
      </w:r>
    </w:p>
    <w:p w14:paraId="18AECE6C" w14:textId="77777777" w:rsidR="0087223D" w:rsidRPr="005E2615" w:rsidRDefault="0087223D" w:rsidP="0087223D">
      <w:pPr>
        <w:pStyle w:val="NoSpacing"/>
        <w:rPr>
          <w:rFonts w:asciiTheme="minorHAnsi" w:hAnsiTheme="minorHAnsi" w:cstheme="minorHAnsi"/>
        </w:rPr>
      </w:pPr>
    </w:p>
    <w:p w14:paraId="0531C3A7" w14:textId="77777777" w:rsidR="0087223D" w:rsidRPr="005E2615" w:rsidRDefault="0087223D" w:rsidP="0087223D">
      <w:pPr>
        <w:spacing w:after="0"/>
        <w:rPr>
          <w:rStyle w:val="Strong"/>
          <w:rFonts w:asciiTheme="minorHAnsi" w:hAnsiTheme="minorHAnsi" w:cstheme="minorHAnsi"/>
        </w:rPr>
      </w:pPr>
      <w:r w:rsidRPr="005E2615">
        <w:rPr>
          <w:rStyle w:val="Strong"/>
          <w:rFonts w:asciiTheme="minorHAnsi" w:hAnsiTheme="minorHAnsi" w:cstheme="minorHAnsi"/>
        </w:rPr>
        <w:t>Hertfordshire Constabulary</w:t>
      </w:r>
    </w:p>
    <w:p w14:paraId="612B9CE8" w14:textId="5078038D" w:rsidR="0087223D" w:rsidRPr="005E2615" w:rsidRDefault="003B1F49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Andy Prophet, Chief Constab</w:t>
      </w:r>
      <w:r w:rsidR="008135F8" w:rsidRPr="005E2615">
        <w:rPr>
          <w:rFonts w:asciiTheme="minorHAnsi" w:hAnsiTheme="minorHAnsi" w:cstheme="minorHAnsi"/>
        </w:rPr>
        <w:t>le</w:t>
      </w:r>
      <w:r w:rsidRPr="005E2615">
        <w:rPr>
          <w:rFonts w:asciiTheme="minorHAnsi" w:hAnsiTheme="minorHAnsi" w:cstheme="minorHAnsi"/>
        </w:rPr>
        <w:t xml:space="preserve"> (CC)</w:t>
      </w:r>
    </w:p>
    <w:p w14:paraId="612F55CF" w14:textId="77777777" w:rsidR="0087223D" w:rsidRPr="005E2615" w:rsidRDefault="0087223D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James Cook, Director of Resources (JC)</w:t>
      </w:r>
    </w:p>
    <w:p w14:paraId="7A198A6C" w14:textId="4F793902" w:rsidR="0092233F" w:rsidRPr="005E2615" w:rsidRDefault="0092233F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Mike Jarvis</w:t>
      </w:r>
      <w:r w:rsidR="00A3332D" w:rsidRPr="005E2615">
        <w:rPr>
          <w:rFonts w:asciiTheme="minorHAnsi" w:hAnsiTheme="minorHAnsi" w:cstheme="minorHAnsi"/>
        </w:rPr>
        <w:t xml:space="preserve">, Director of Finance </w:t>
      </w:r>
      <w:r w:rsidRPr="005E2615">
        <w:rPr>
          <w:rFonts w:asciiTheme="minorHAnsi" w:hAnsiTheme="minorHAnsi" w:cstheme="minorHAnsi"/>
        </w:rPr>
        <w:t>(MJ)</w:t>
      </w:r>
    </w:p>
    <w:p w14:paraId="4DDD2C04" w14:textId="6E403C8B" w:rsidR="002A117F" w:rsidRPr="005E2615" w:rsidRDefault="002A117F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James Kidd, Chief Accountant (JK)</w:t>
      </w:r>
    </w:p>
    <w:p w14:paraId="2E9A08E9" w14:textId="77777777" w:rsidR="00A93924" w:rsidRPr="005E2615" w:rsidRDefault="00A93924" w:rsidP="0087223D">
      <w:pPr>
        <w:pStyle w:val="NoSpacing"/>
        <w:rPr>
          <w:rFonts w:asciiTheme="minorHAnsi" w:hAnsiTheme="minorHAnsi" w:cstheme="minorHAnsi"/>
        </w:rPr>
      </w:pPr>
    </w:p>
    <w:p w14:paraId="6FFBC4C2" w14:textId="3BEA0C0A" w:rsidR="0087223D" w:rsidRDefault="00C31167" w:rsidP="0087223D">
      <w:pPr>
        <w:spacing w:after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Apologies:</w:t>
      </w:r>
    </w:p>
    <w:p w14:paraId="1922013B" w14:textId="77777777" w:rsidR="00C31167" w:rsidRDefault="00C31167" w:rsidP="00C31167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 w:rsidRPr="00DA74FF">
        <w:rPr>
          <w:rStyle w:val="Strong"/>
          <w:rFonts w:asciiTheme="minorHAnsi" w:hAnsiTheme="minorHAnsi" w:cstheme="minorHAnsi"/>
          <w:b w:val="0"/>
          <w:bCs w:val="0"/>
        </w:rPr>
        <w:t>Ian Rooney, Chief Finance Officer (IR)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</w:p>
    <w:p w14:paraId="4895EAC2" w14:textId="77777777" w:rsidR="00C31167" w:rsidRPr="003840D4" w:rsidRDefault="00C31167" w:rsidP="00C31167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Paul Smith, Joint Audit Committee Chair (PS)</w:t>
      </w:r>
    </w:p>
    <w:p w14:paraId="3A5BE267" w14:textId="77777777" w:rsidR="00C31167" w:rsidRDefault="00C31167" w:rsidP="00C31167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Potter Director of Estates &amp; Facilities (IP)</w:t>
      </w:r>
    </w:p>
    <w:p w14:paraId="5761D4B3" w14:textId="77777777" w:rsidR="00C31167" w:rsidRDefault="00C31167" w:rsidP="0087223D">
      <w:pPr>
        <w:spacing w:after="0"/>
        <w:rPr>
          <w:rStyle w:val="Strong"/>
          <w:rFonts w:asciiTheme="minorHAnsi" w:hAnsiTheme="minorHAnsi" w:cstheme="minorHAnsi"/>
        </w:rPr>
      </w:pPr>
    </w:p>
    <w:p w14:paraId="277F3246" w14:textId="77777777" w:rsidR="00C31167" w:rsidRPr="005E2615" w:rsidRDefault="00C31167" w:rsidP="0087223D">
      <w:pPr>
        <w:spacing w:after="0"/>
        <w:rPr>
          <w:rStyle w:val="Strong"/>
          <w:rFonts w:asciiTheme="minorHAnsi" w:hAnsiTheme="minorHAnsi" w:cstheme="minorHAnsi"/>
        </w:rPr>
      </w:pPr>
    </w:p>
    <w:p w14:paraId="4FB6DD92" w14:textId="77777777" w:rsidR="0087223D" w:rsidRPr="005E2615" w:rsidRDefault="0087223D" w:rsidP="0087223D">
      <w:pPr>
        <w:spacing w:after="0" w:line="240" w:lineRule="auto"/>
        <w:rPr>
          <w:rFonts w:asciiTheme="minorHAnsi" w:hAnsiTheme="minorHAnsi" w:cstheme="minorHAnsi"/>
          <w:b/>
        </w:rPr>
      </w:pPr>
      <w:r w:rsidRPr="005E2615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62585B7A" wp14:editId="72BA4B15">
                <wp:extent cx="6153150" cy="0"/>
                <wp:effectExtent l="0" t="0" r="0" b="0"/>
                <wp:docPr id="2" name="Straight Connector 2" descr="Dividing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93AB20" id="Straight Connector 2" o:spid="_x0000_s1026" alt="Dividing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" strokecolor="#1f497d" strokeweight="1.5pt">
                <w10:anchorlock/>
              </v:line>
            </w:pict>
          </mc:Fallback>
        </mc:AlternateContent>
      </w:r>
    </w:p>
    <w:p w14:paraId="355F0A53" w14:textId="77777777" w:rsidR="0087223D" w:rsidRPr="005E2615" w:rsidRDefault="0087223D" w:rsidP="0087223D">
      <w:pPr>
        <w:pStyle w:val="NoSpacing"/>
        <w:ind w:right="-82"/>
        <w:rPr>
          <w:rFonts w:asciiTheme="minorHAnsi" w:hAnsiTheme="minorHAnsi" w:cstheme="minorHAnsi"/>
        </w:rPr>
      </w:pPr>
    </w:p>
    <w:p w14:paraId="1A1BD54A" w14:textId="77777777" w:rsidR="0087223D" w:rsidRPr="005E2615" w:rsidRDefault="0087223D" w:rsidP="0087223D">
      <w:pPr>
        <w:pStyle w:val="NoSpacing"/>
        <w:ind w:right="-82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8477"/>
      </w:tblGrid>
      <w:tr w:rsidR="0087223D" w:rsidRPr="005E2615" w14:paraId="74CC8FBE" w14:textId="77777777" w:rsidTr="00AD062B">
        <w:tc>
          <w:tcPr>
            <w:tcW w:w="539" w:type="dxa"/>
          </w:tcPr>
          <w:p w14:paraId="38D24822" w14:textId="77777777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 w:rsidRPr="005E2615">
              <w:rPr>
                <w:rStyle w:val="Strong"/>
                <w:rFonts w:asciiTheme="minorHAnsi" w:hAnsiTheme="minorHAnsi"/>
              </w:rPr>
              <w:t>1.</w:t>
            </w:r>
          </w:p>
        </w:tc>
        <w:tc>
          <w:tcPr>
            <w:tcW w:w="8477" w:type="dxa"/>
          </w:tcPr>
          <w:p w14:paraId="7626086E" w14:textId="77777777" w:rsidR="0087223D" w:rsidRPr="005E2615" w:rsidRDefault="0087223D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 w:rsidRPr="005E2615">
              <w:rPr>
                <w:rStyle w:val="Strong"/>
                <w:rFonts w:asciiTheme="minorHAnsi" w:hAnsiTheme="minorHAnsi"/>
              </w:rPr>
              <w:t>Welcome, Introductions &amp; Apologies</w:t>
            </w:r>
          </w:p>
          <w:p w14:paraId="2C1E5A20" w14:textId="77777777" w:rsidR="0087223D" w:rsidRPr="005E2615" w:rsidRDefault="0087223D" w:rsidP="00192FA6">
            <w:pPr>
              <w:pStyle w:val="NoSpacing"/>
              <w:ind w:right="-82"/>
              <w:rPr>
                <w:rFonts w:asciiTheme="minorHAnsi" w:hAnsiTheme="minorHAnsi"/>
              </w:rPr>
            </w:pPr>
          </w:p>
          <w:p w14:paraId="374E6DB6" w14:textId="5988A4A4" w:rsidR="0087223D" w:rsidRPr="005E2615" w:rsidRDefault="0087223D" w:rsidP="003B1F49">
            <w:pPr>
              <w:pStyle w:val="NoSpacing"/>
              <w:ind w:right="-82"/>
              <w:rPr>
                <w:rFonts w:asciiTheme="minorHAnsi" w:hAnsiTheme="minorHAnsi"/>
              </w:rPr>
            </w:pPr>
            <w:r w:rsidRPr="005E2615">
              <w:rPr>
                <w:rFonts w:asciiTheme="minorHAnsi" w:hAnsiTheme="minorHAnsi"/>
              </w:rPr>
              <w:t xml:space="preserve">The Chair welcomed members to the meeting.  </w:t>
            </w:r>
            <w:r w:rsidR="00C31167">
              <w:rPr>
                <w:rFonts w:asciiTheme="minorHAnsi" w:hAnsiTheme="minorHAnsi"/>
              </w:rPr>
              <w:t xml:space="preserve">Apologies noted as above. </w:t>
            </w:r>
          </w:p>
          <w:p w14:paraId="2BF86F24" w14:textId="09DFB367" w:rsidR="003B1F49" w:rsidRPr="005E2615" w:rsidRDefault="003B1F49" w:rsidP="003B1F49">
            <w:pPr>
              <w:pStyle w:val="NoSpacing"/>
              <w:ind w:right="-82"/>
              <w:rPr>
                <w:rFonts w:asciiTheme="minorHAnsi" w:hAnsiTheme="minorHAnsi"/>
              </w:rPr>
            </w:pPr>
          </w:p>
        </w:tc>
      </w:tr>
      <w:tr w:rsidR="0087223D" w:rsidRPr="005E2615" w14:paraId="2FD6F266" w14:textId="77777777" w:rsidTr="00AD062B">
        <w:tc>
          <w:tcPr>
            <w:tcW w:w="539" w:type="dxa"/>
          </w:tcPr>
          <w:p w14:paraId="6D43BCFE" w14:textId="77777777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</w:p>
          <w:p w14:paraId="212064D5" w14:textId="5EDBA71D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 w:rsidRPr="005E2615">
              <w:rPr>
                <w:rStyle w:val="Strong"/>
                <w:rFonts w:asciiTheme="minorHAnsi" w:hAnsiTheme="minorHAnsi"/>
              </w:rPr>
              <w:t>2.</w:t>
            </w:r>
          </w:p>
          <w:p w14:paraId="4C006A4F" w14:textId="77777777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8477" w:type="dxa"/>
          </w:tcPr>
          <w:p w14:paraId="02C52C31" w14:textId="77777777" w:rsidR="00AD062B" w:rsidRPr="005E2615" w:rsidRDefault="00AD062B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  <w:p w14:paraId="355B790F" w14:textId="5D774612" w:rsidR="0087223D" w:rsidRPr="005E2615" w:rsidRDefault="0087223D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  <w:r w:rsidRPr="005E2615">
              <w:rPr>
                <w:rStyle w:val="Strong"/>
                <w:rFonts w:asciiTheme="minorHAnsi" w:hAnsiTheme="minorHAnsi"/>
              </w:rPr>
              <w:t xml:space="preserve">Minutes </w:t>
            </w:r>
            <w:r w:rsidR="00606474" w:rsidRPr="005E2615">
              <w:rPr>
                <w:rStyle w:val="Strong"/>
                <w:rFonts w:asciiTheme="minorHAnsi" w:hAnsiTheme="minorHAnsi"/>
              </w:rPr>
              <w:t xml:space="preserve">and Actions </w:t>
            </w:r>
            <w:r w:rsidRPr="005E2615">
              <w:rPr>
                <w:rStyle w:val="Strong"/>
                <w:rFonts w:asciiTheme="minorHAnsi" w:hAnsiTheme="minorHAnsi"/>
                <w:b w:val="0"/>
                <w:bCs w:val="0"/>
              </w:rPr>
              <w:t>from the previous meeting</w:t>
            </w:r>
            <w:r w:rsidR="00885DD0" w:rsidRPr="005E2615">
              <w:rPr>
                <w:rStyle w:val="Strong"/>
                <w:rFonts w:asciiTheme="minorHAnsi" w:hAnsiTheme="minorHAnsi"/>
                <w:b w:val="0"/>
                <w:bCs w:val="0"/>
              </w:rPr>
              <w:t xml:space="preserve"> agreed </w:t>
            </w:r>
            <w:r w:rsidR="00A93924" w:rsidRPr="005E2615">
              <w:rPr>
                <w:rStyle w:val="Strong"/>
                <w:rFonts w:asciiTheme="minorHAnsi" w:hAnsiTheme="minorHAnsi"/>
                <w:b w:val="0"/>
                <w:bCs w:val="0"/>
              </w:rPr>
              <w:t>as an accurate reflection</w:t>
            </w:r>
            <w:r w:rsidR="00A93924" w:rsidRPr="005E2615">
              <w:rPr>
                <w:rStyle w:val="Strong"/>
                <w:rFonts w:asciiTheme="minorHAnsi" w:hAnsiTheme="minorHAnsi"/>
              </w:rPr>
              <w:t>.</w:t>
            </w:r>
          </w:p>
          <w:p w14:paraId="46FB401A" w14:textId="04210B8F" w:rsidR="001C3BDF" w:rsidRPr="005E2615" w:rsidRDefault="001C3BDF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</w:tc>
      </w:tr>
      <w:tr w:rsidR="00CD072D" w:rsidRPr="005E2615" w14:paraId="38285B71" w14:textId="77777777" w:rsidTr="00AD062B">
        <w:tc>
          <w:tcPr>
            <w:tcW w:w="539" w:type="dxa"/>
          </w:tcPr>
          <w:p w14:paraId="065276B3" w14:textId="34366248" w:rsidR="00CD072D" w:rsidRPr="005E2615" w:rsidRDefault="00C31167" w:rsidP="00CD072D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</w:t>
            </w:r>
            <w:r>
              <w:rPr>
                <w:rStyle w:val="Strong"/>
              </w:rPr>
              <w:t>.</w:t>
            </w:r>
          </w:p>
        </w:tc>
        <w:tc>
          <w:tcPr>
            <w:tcW w:w="8477" w:type="dxa"/>
          </w:tcPr>
          <w:p w14:paraId="3423A71B" w14:textId="77777777" w:rsidR="00C31167" w:rsidRPr="00015D94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015D94">
              <w:rPr>
                <w:rStyle w:val="Strong"/>
                <w:rFonts w:asciiTheme="minorHAnsi" w:hAnsiTheme="minorHAnsi" w:cstheme="minorHAnsi"/>
              </w:rPr>
              <w:t>Final Budget 2025-26</w:t>
            </w:r>
          </w:p>
          <w:p w14:paraId="56CE979D" w14:textId="77777777" w:rsidR="00C31167" w:rsidRPr="00015D94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  <w:p w14:paraId="4E9B55F3" w14:textId="03AFA28B" w:rsidR="00C31167" w:rsidRPr="00015D94" w:rsidRDefault="00C31167" w:rsidP="00C31167">
            <w:pPr>
              <w:pStyle w:val="NoSpacing"/>
              <w:ind w:right="-82"/>
              <w:rPr>
                <w:rFonts w:asciiTheme="minorHAnsi" w:hAnsiTheme="minorHAnsi"/>
                <w:spacing w:val="-8"/>
              </w:rPr>
            </w:pPr>
            <w:r w:rsidRPr="00015D94">
              <w:rPr>
                <w:rFonts w:asciiTheme="minorHAnsi" w:hAnsiTheme="minorHAnsi"/>
                <w:spacing w:val="-8"/>
              </w:rPr>
              <w:t xml:space="preserve">The presentation on this was shared with the group in advance.  </w:t>
            </w:r>
          </w:p>
          <w:p w14:paraId="37CBD406" w14:textId="77777777" w:rsidR="00CD072D" w:rsidRDefault="00CD072D" w:rsidP="00CD072D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  <w:p w14:paraId="04DD6878" w14:textId="6C2E6A73" w:rsidR="00C31167" w:rsidRPr="00015D94" w:rsidRDefault="00C31167" w:rsidP="00C31167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lastRenderedPageBreak/>
              <w:t>Gross budget £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>3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>06.1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>m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for the Constabulary £8.5 million for PCC. Core grant up £5.2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>m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(3.5%) increase on the year before, the increase 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 xml:space="preserve">last year 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>was £7.8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>m</w:t>
            </w:r>
            <w:r w:rsidR="00F561C1">
              <w:rPr>
                <w:rFonts w:asciiTheme="minorHAnsi" w:eastAsia="Times New Roman" w:hAnsiTheme="minorHAnsi" w:cs="Times New Roman"/>
                <w:lang w:eastAsia="en-GB"/>
              </w:rPr>
              <w:t>,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so it is a declining trend.</w:t>
            </w:r>
          </w:p>
          <w:p w14:paraId="3CFD7A24" w14:textId="77777777" w:rsidR="00C31167" w:rsidRPr="00015D94" w:rsidRDefault="00C31167" w:rsidP="00C31167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</w:p>
          <w:p w14:paraId="634399E8" w14:textId="39FD3E81" w:rsidR="00C31167" w:rsidRPr="00015D94" w:rsidRDefault="00C31167" w:rsidP="00C31167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The main areas of variance </w:t>
            </w:r>
            <w:r w:rsidR="00731D66">
              <w:rPr>
                <w:rFonts w:asciiTheme="minorHAnsi" w:eastAsia="Times New Roman" w:hAnsiTheme="minorHAnsi" w:cs="Times New Roman"/>
                <w:lang w:eastAsia="en-GB"/>
              </w:rPr>
              <w:t xml:space="preserve">were discussed. </w:t>
            </w:r>
          </w:p>
          <w:p w14:paraId="55457830" w14:textId="77777777" w:rsidR="00C31167" w:rsidRPr="00015D94" w:rsidRDefault="00C31167" w:rsidP="00C31167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</w:p>
          <w:p w14:paraId="6520BED9" w14:textId="5A13ACC5" w:rsidR="00C31167" w:rsidRPr="00015D94" w:rsidRDefault="00C31167" w:rsidP="00C31167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>Looking at the capital programme over th</w:t>
            </w:r>
            <w:r w:rsidR="00731D66">
              <w:rPr>
                <w:rFonts w:asciiTheme="minorHAnsi" w:eastAsia="Times New Roman" w:hAnsiTheme="minorHAnsi" w:cs="Times New Roman"/>
                <w:lang w:eastAsia="en-GB"/>
              </w:rPr>
              <w:t>e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period, </w:t>
            </w:r>
            <w:r>
              <w:rPr>
                <w:rFonts w:asciiTheme="minorHAnsi" w:eastAsia="Times New Roman" w:hAnsiTheme="minorHAnsi" w:cs="Times New Roman"/>
                <w:lang w:eastAsia="en-GB"/>
              </w:rPr>
              <w:t xml:space="preserve">they are 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>assess</w:t>
            </w:r>
            <w:r>
              <w:rPr>
                <w:rFonts w:asciiTheme="minorHAnsi" w:eastAsia="Times New Roman" w:hAnsiTheme="minorHAnsi" w:cs="Times New Roman"/>
                <w:lang w:eastAsia="en-GB"/>
              </w:rPr>
              <w:t>ing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option</w:t>
            </w:r>
            <w:r>
              <w:rPr>
                <w:rFonts w:asciiTheme="minorHAnsi" w:eastAsia="Times New Roman" w:hAnsiTheme="minorHAnsi" w:cs="Times New Roman"/>
                <w:lang w:eastAsia="en-GB"/>
              </w:rPr>
              <w:t>s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to yield capital receipts and do something different with the rest of the estate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>.  If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debt can be paid down </w:t>
            </w:r>
            <w:r w:rsidR="00731D66" w:rsidRPr="00015D94">
              <w:rPr>
                <w:rFonts w:asciiTheme="minorHAnsi" w:eastAsia="Times New Roman" w:hAnsiTheme="minorHAnsi" w:cs="Times New Roman"/>
                <w:lang w:eastAsia="en-GB"/>
              </w:rPr>
              <w:t>quicker,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it was agreed that that ought to be the ambition.  The other mechanism that could apply, which is slightly more challenging, is to start building up some revenue contribution to capital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 xml:space="preserve"> budgets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. Communication will begin to the workforce and 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 xml:space="preserve">on the 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work 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>for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delivering the savings in practi</w:t>
            </w:r>
            <w:r w:rsidR="004A1D8A">
              <w:rPr>
                <w:rFonts w:asciiTheme="minorHAnsi" w:eastAsia="Times New Roman" w:hAnsiTheme="minorHAnsi" w:cs="Times New Roman"/>
                <w:lang w:eastAsia="en-GB"/>
              </w:rPr>
              <w:t>c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e.  </w:t>
            </w:r>
          </w:p>
          <w:p w14:paraId="34467CE0" w14:textId="77777777" w:rsidR="00C31167" w:rsidRPr="00015D94" w:rsidRDefault="00C31167" w:rsidP="00C31167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</w:p>
          <w:p w14:paraId="0F316263" w14:textId="25CC9DC4" w:rsidR="00C31167" w:rsidRPr="00015D94" w:rsidRDefault="00C31167" w:rsidP="00C31167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lang w:eastAsia="en-GB"/>
              </w:rPr>
            </w:pPr>
            <w:r w:rsidRPr="00015D94">
              <w:rPr>
                <w:rFonts w:asciiTheme="minorHAnsi" w:eastAsia="Times New Roman" w:hAnsiTheme="minorHAnsi" w:cs="Times New Roman"/>
                <w:b/>
                <w:bCs/>
                <w:lang w:eastAsia="en-GB"/>
              </w:rPr>
              <w:t xml:space="preserve">Decision: To approve the budget as set out above, the revenue budget, capital programme and savings programme. </w:t>
            </w:r>
          </w:p>
          <w:p w14:paraId="71811552" w14:textId="77777777" w:rsidR="00C31167" w:rsidRDefault="00C31167" w:rsidP="00CD072D">
            <w:pPr>
              <w:pStyle w:val="NoSpacing"/>
              <w:ind w:right="-82"/>
              <w:rPr>
                <w:rStyle w:val="Strong"/>
              </w:rPr>
            </w:pPr>
          </w:p>
          <w:p w14:paraId="24A063FB" w14:textId="3FF0B058" w:rsidR="00C31167" w:rsidRPr="005E2615" w:rsidRDefault="00C31167" w:rsidP="00CD072D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</w:tc>
      </w:tr>
      <w:tr w:rsidR="00B01BFC" w:rsidRPr="005E2615" w14:paraId="6DA25271" w14:textId="77777777" w:rsidTr="00AD062B">
        <w:tc>
          <w:tcPr>
            <w:tcW w:w="539" w:type="dxa"/>
          </w:tcPr>
          <w:p w14:paraId="2C470DA4" w14:textId="071805BA" w:rsidR="00B01BFC" w:rsidRDefault="00B01BFC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lastRenderedPageBreak/>
              <w:t>4</w:t>
            </w:r>
            <w:r>
              <w:rPr>
                <w:rStyle w:val="Strong"/>
              </w:rPr>
              <w:t>.</w:t>
            </w:r>
          </w:p>
        </w:tc>
        <w:tc>
          <w:tcPr>
            <w:tcW w:w="8477" w:type="dxa"/>
          </w:tcPr>
          <w:p w14:paraId="0741B151" w14:textId="77777777" w:rsidR="00B01BFC" w:rsidRPr="00015D94" w:rsidRDefault="00B01BFC" w:rsidP="00B01BFC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015D94">
              <w:rPr>
                <w:rStyle w:val="Strong"/>
                <w:rFonts w:asciiTheme="minorHAnsi" w:hAnsiTheme="minorHAnsi" w:cstheme="minorHAnsi"/>
              </w:rPr>
              <w:t>Revenue Monitor – Q3 2024/25</w:t>
            </w:r>
          </w:p>
          <w:p w14:paraId="7E3C1211" w14:textId="77777777" w:rsidR="00B01BFC" w:rsidRPr="00015D94" w:rsidRDefault="00B01BFC" w:rsidP="00B01BFC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  <w:p w14:paraId="618E055E" w14:textId="77777777" w:rsidR="00B01BFC" w:rsidRDefault="00B01BFC" w:rsidP="00B01BFC">
            <w:pPr>
              <w:pStyle w:val="NoSpacing"/>
              <w:ind w:right="-82"/>
              <w:rPr>
                <w:rFonts w:asciiTheme="minorHAnsi" w:hAnsiTheme="minorHAnsi"/>
                <w:spacing w:val="-8"/>
              </w:rPr>
            </w:pPr>
            <w:r w:rsidRPr="00015D94">
              <w:rPr>
                <w:rFonts w:asciiTheme="minorHAnsi" w:hAnsiTheme="minorHAnsi"/>
                <w:spacing w:val="-8"/>
              </w:rPr>
              <w:t xml:space="preserve">The </w:t>
            </w:r>
            <w:r>
              <w:rPr>
                <w:rFonts w:asciiTheme="minorHAnsi" w:hAnsiTheme="minorHAnsi"/>
                <w:spacing w:val="-8"/>
              </w:rPr>
              <w:t>report was</w:t>
            </w:r>
            <w:r w:rsidRPr="00015D94">
              <w:rPr>
                <w:rFonts w:asciiTheme="minorHAnsi" w:hAnsiTheme="minorHAnsi"/>
                <w:spacing w:val="-8"/>
              </w:rPr>
              <w:t xml:space="preserve"> shared with the group in advance.  </w:t>
            </w:r>
            <w:r>
              <w:rPr>
                <w:rFonts w:asciiTheme="minorHAnsi" w:hAnsiTheme="minorHAnsi"/>
                <w:spacing w:val="-8"/>
              </w:rPr>
              <w:t>Highlights from the discussion:</w:t>
            </w:r>
          </w:p>
          <w:p w14:paraId="2070D645" w14:textId="77777777" w:rsidR="00B01BFC" w:rsidRPr="00015D94" w:rsidRDefault="00B01BFC" w:rsidP="00B01BFC">
            <w:pPr>
              <w:pStyle w:val="NoSpacing"/>
              <w:ind w:right="-82"/>
              <w:rPr>
                <w:rFonts w:asciiTheme="minorHAnsi" w:hAnsiTheme="minorHAnsi"/>
                <w:spacing w:val="-8"/>
              </w:rPr>
            </w:pPr>
          </w:p>
          <w:p w14:paraId="23D8D6DB" w14:textId="313D9DBF" w:rsidR="00B01BFC" w:rsidRDefault="00B01BFC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>This Q3 position is a deterioration versus Q2 with a £4.6 million overspend - an increase of £1.9 million</w:t>
            </w:r>
            <w:r w:rsidR="002517D2">
              <w:rPr>
                <w:rFonts w:asciiTheme="minorHAnsi" w:eastAsia="Times New Roman" w:hAnsiTheme="minorHAnsi" w:cs="Times New Roman"/>
                <w:lang w:eastAsia="en-GB"/>
              </w:rPr>
              <w:t xml:space="preserve"> from Q2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>.</w:t>
            </w:r>
          </w:p>
          <w:p w14:paraId="5ABE59F4" w14:textId="77777777" w:rsidR="00F561C1" w:rsidRDefault="00F561C1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</w:p>
          <w:p w14:paraId="2456A221" w14:textId="66D9453E" w:rsidR="00B01BFC" w:rsidRPr="00015D94" w:rsidRDefault="00B01BFC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The main areas of variance </w:t>
            </w:r>
            <w:r w:rsidR="00731D66">
              <w:rPr>
                <w:rFonts w:asciiTheme="minorHAnsi" w:eastAsia="Times New Roman" w:hAnsiTheme="minorHAnsi" w:cs="Times New Roman"/>
                <w:lang w:eastAsia="en-GB"/>
              </w:rPr>
              <w:t xml:space="preserve">were discussed. </w:t>
            </w:r>
          </w:p>
          <w:p w14:paraId="1C851EF3" w14:textId="77777777" w:rsidR="00B01BFC" w:rsidRPr="00015D94" w:rsidRDefault="00B01BFC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</w:p>
          <w:p w14:paraId="3A0102DB" w14:textId="1510065D" w:rsidR="00B01BFC" w:rsidRDefault="00B01BFC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  <w:r w:rsidRPr="002D2698">
              <w:rPr>
                <w:rFonts w:asciiTheme="minorHAnsi" w:eastAsia="Times New Roman" w:hAnsiTheme="minorHAnsi" w:cs="Times New Roman"/>
                <w:b/>
                <w:bCs/>
                <w:lang w:eastAsia="en-GB"/>
              </w:rPr>
              <w:t xml:space="preserve">Action: It was agreed that more frequent reporting </w:t>
            </w:r>
            <w:r w:rsidR="002517D2">
              <w:rPr>
                <w:rFonts w:asciiTheme="minorHAnsi" w:eastAsia="Times New Roman" w:hAnsiTheme="minorHAnsi" w:cs="Times New Roman"/>
                <w:b/>
                <w:bCs/>
                <w:lang w:eastAsia="en-GB"/>
              </w:rPr>
              <w:t xml:space="preserve">on budget holder corrective actions would be introduced including a </w:t>
            </w:r>
            <w:r w:rsidRPr="002D2698">
              <w:rPr>
                <w:rFonts w:asciiTheme="minorHAnsi" w:eastAsia="Times New Roman" w:hAnsiTheme="minorHAnsi" w:cs="Times New Roman"/>
                <w:b/>
                <w:bCs/>
                <w:lang w:eastAsia="en-GB"/>
              </w:rPr>
              <w:t>month-by-month tracker to show if over or under budget</w:t>
            </w:r>
            <w:r w:rsidR="00731D66">
              <w:rPr>
                <w:rFonts w:asciiTheme="minorHAnsi" w:eastAsia="Times New Roman" w:hAnsiTheme="minorHAnsi" w:cs="Times New Roman"/>
                <w:b/>
                <w:bCs/>
                <w:lang w:eastAsia="en-GB"/>
              </w:rPr>
              <w:t>.</w:t>
            </w:r>
            <w:r w:rsidRPr="00015D94">
              <w:rPr>
                <w:rFonts w:asciiTheme="minorHAnsi" w:eastAsia="Times New Roman" w:hAnsiTheme="minorHAnsi" w:cs="Times New Roman"/>
                <w:lang w:eastAsia="en-GB"/>
              </w:rPr>
              <w:t xml:space="preserve"> </w:t>
            </w:r>
          </w:p>
          <w:p w14:paraId="0125C001" w14:textId="77777777" w:rsidR="00731D66" w:rsidRDefault="00731D66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</w:p>
          <w:p w14:paraId="5AD97124" w14:textId="589B145A" w:rsidR="00731D66" w:rsidRDefault="00731D66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lang w:eastAsia="en-GB"/>
              </w:rPr>
              <w:t xml:space="preserve">The report was noted. </w:t>
            </w:r>
          </w:p>
          <w:p w14:paraId="049B7A67" w14:textId="77777777" w:rsidR="00731D66" w:rsidRDefault="00731D66" w:rsidP="00B01BFC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GB"/>
              </w:rPr>
            </w:pPr>
          </w:p>
          <w:p w14:paraId="3CE30E24" w14:textId="77777777" w:rsidR="00B01BFC" w:rsidRPr="00B01BFC" w:rsidRDefault="00B01BFC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C31167" w:rsidRPr="005E2615" w14:paraId="117219A1" w14:textId="77777777" w:rsidTr="00AD062B">
        <w:tc>
          <w:tcPr>
            <w:tcW w:w="539" w:type="dxa"/>
          </w:tcPr>
          <w:p w14:paraId="1AB07FBC" w14:textId="4A39DB60" w:rsidR="00C31167" w:rsidRPr="005E2615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5</w:t>
            </w:r>
            <w:r>
              <w:rPr>
                <w:rStyle w:val="Strong"/>
              </w:rPr>
              <w:t>.</w:t>
            </w:r>
          </w:p>
        </w:tc>
        <w:tc>
          <w:tcPr>
            <w:tcW w:w="8477" w:type="dxa"/>
          </w:tcPr>
          <w:p w14:paraId="3F642175" w14:textId="77777777" w:rsidR="00C31167" w:rsidRPr="005415D1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5415D1">
              <w:rPr>
                <w:rStyle w:val="Strong"/>
                <w:rFonts w:asciiTheme="minorHAnsi" w:hAnsiTheme="minorHAnsi" w:cstheme="minorHAnsi"/>
              </w:rPr>
              <w:t>Insurance/Legal claims update</w:t>
            </w:r>
          </w:p>
          <w:p w14:paraId="7F646389" w14:textId="77777777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494B7D66" w14:textId="489E6874" w:rsidR="00C31167" w:rsidRDefault="008962A5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J</w:t>
            </w:r>
            <w:r w:rsidR="00C3116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C provided </w:t>
            </w:r>
            <w:r w:rsidR="00731D66" w:rsidRPr="00731D66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 verbal</w:t>
            </w:r>
            <w:r w:rsidR="00731D66" w:rsidRPr="00731D66">
              <w:rPr>
                <w:rStyle w:val="Strong"/>
                <w:rFonts w:cstheme="minorHAnsi"/>
                <w:b w:val="0"/>
                <w:bCs w:val="0"/>
              </w:rPr>
              <w:t xml:space="preserve"> </w:t>
            </w:r>
            <w:r w:rsidR="00C31167" w:rsidRPr="00731D66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u</w:t>
            </w:r>
            <w:r w:rsidR="00C3116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pdate on legal claim status, costs and </w:t>
            </w:r>
            <w:r w:rsidR="00C31167" w:rsidRPr="00B1070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details.  </w:t>
            </w:r>
          </w:p>
          <w:p w14:paraId="70168AFE" w14:textId="77777777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  <w:p w14:paraId="616A44A7" w14:textId="20C3F578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330CD6">
              <w:rPr>
                <w:rStyle w:val="Strong"/>
                <w:rFonts w:asciiTheme="minorHAnsi" w:hAnsiTheme="minorHAnsi" w:cstheme="minorHAnsi"/>
              </w:rPr>
              <w:t xml:space="preserve">Action: </w:t>
            </w:r>
            <w:r w:rsidR="008962A5">
              <w:rPr>
                <w:rStyle w:val="Strong"/>
                <w:rFonts w:asciiTheme="minorHAnsi" w:hAnsiTheme="minorHAnsi" w:cstheme="minorHAnsi"/>
              </w:rPr>
              <w:t>J</w:t>
            </w:r>
            <w:r w:rsidRPr="00330CD6">
              <w:rPr>
                <w:rStyle w:val="Strong"/>
                <w:rFonts w:asciiTheme="minorHAnsi" w:hAnsiTheme="minorHAnsi" w:cstheme="minorHAnsi"/>
              </w:rPr>
              <w:t>C to review of relationships with external solicitors required in order to validate spend and scrutiny/oversight o</w:t>
            </w:r>
            <w:r w:rsidR="008962A5">
              <w:rPr>
                <w:rStyle w:val="Strong"/>
                <w:rFonts w:asciiTheme="minorHAnsi" w:hAnsiTheme="minorHAnsi" w:cstheme="minorHAnsi"/>
              </w:rPr>
              <w:t>n</w:t>
            </w:r>
            <w:r w:rsidRPr="00330CD6">
              <w:rPr>
                <w:rStyle w:val="Strong"/>
                <w:rFonts w:asciiTheme="minorHAnsi" w:hAnsiTheme="minorHAnsi" w:cstheme="minorHAnsi"/>
              </w:rPr>
              <w:t xml:space="preserve"> progress of high</w:t>
            </w:r>
            <w:r w:rsidR="002517D2">
              <w:rPr>
                <w:rStyle w:val="Strong"/>
                <w:rFonts w:asciiTheme="minorHAnsi" w:hAnsiTheme="minorHAnsi" w:cstheme="minorHAnsi"/>
              </w:rPr>
              <w:t>-</w:t>
            </w:r>
            <w:r w:rsidRPr="00330CD6">
              <w:rPr>
                <w:rStyle w:val="Strong"/>
                <w:rFonts w:asciiTheme="minorHAnsi" w:hAnsiTheme="minorHAnsi" w:cstheme="minorHAnsi"/>
              </w:rPr>
              <w:t>profile cases.</w:t>
            </w:r>
          </w:p>
          <w:p w14:paraId="329891CE" w14:textId="77777777" w:rsidR="00F561C1" w:rsidRDefault="00F561C1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  <w:p w14:paraId="00211D6A" w14:textId="5E7860C5" w:rsidR="00C31167" w:rsidRPr="005E2615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</w:tc>
      </w:tr>
      <w:tr w:rsidR="00C31167" w:rsidRPr="005E2615" w14:paraId="3FD1F92C" w14:textId="77777777" w:rsidTr="00AD062B">
        <w:tc>
          <w:tcPr>
            <w:tcW w:w="539" w:type="dxa"/>
          </w:tcPr>
          <w:p w14:paraId="3447E7DC" w14:textId="3A6C4D11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6</w:t>
            </w:r>
            <w:r>
              <w:rPr>
                <w:rStyle w:val="Strong"/>
              </w:rPr>
              <w:t>.</w:t>
            </w:r>
          </w:p>
        </w:tc>
        <w:tc>
          <w:tcPr>
            <w:tcW w:w="8477" w:type="dxa"/>
          </w:tcPr>
          <w:p w14:paraId="2CC930C2" w14:textId="77777777" w:rsidR="00C31167" w:rsidRPr="005415D1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5415D1">
              <w:rPr>
                <w:rStyle w:val="Strong"/>
                <w:rFonts w:asciiTheme="minorHAnsi" w:hAnsiTheme="minorHAnsi" w:cstheme="minorHAnsi"/>
              </w:rPr>
              <w:t>Approval of BCH’s updated Financial Regulations</w:t>
            </w:r>
          </w:p>
          <w:p w14:paraId="3D6045C3" w14:textId="77777777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07A574D0" w14:textId="1E280671" w:rsidR="00F561C1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BF4CCE">
              <w:rPr>
                <w:rStyle w:val="Strong"/>
                <w:rFonts w:asciiTheme="minorHAnsi" w:hAnsiTheme="minorHAnsi" w:cstheme="minorHAnsi"/>
              </w:rPr>
              <w:t>Decision: Approval and agreement to adopt updated regulations.</w:t>
            </w:r>
          </w:p>
          <w:p w14:paraId="391B6262" w14:textId="77777777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  <w:p w14:paraId="38036411" w14:textId="77777777" w:rsidR="00731D66" w:rsidRDefault="00731D66" w:rsidP="00C31167">
            <w:pPr>
              <w:pStyle w:val="NoSpacing"/>
              <w:ind w:right="-82"/>
              <w:rPr>
                <w:rStyle w:val="Strong"/>
                <w:rFonts w:cstheme="minorHAnsi"/>
              </w:rPr>
            </w:pPr>
          </w:p>
          <w:p w14:paraId="4596A8AE" w14:textId="77777777" w:rsidR="00731D66" w:rsidRPr="005415D1" w:rsidRDefault="00731D66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C31167" w:rsidRPr="005E2615" w14:paraId="0085CC9B" w14:textId="77777777" w:rsidTr="00AD062B">
        <w:tc>
          <w:tcPr>
            <w:tcW w:w="539" w:type="dxa"/>
          </w:tcPr>
          <w:p w14:paraId="1D0724D4" w14:textId="7ABC412E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lastRenderedPageBreak/>
              <w:t>7</w:t>
            </w:r>
            <w:r>
              <w:rPr>
                <w:rStyle w:val="Strong"/>
              </w:rPr>
              <w:t xml:space="preserve">. </w:t>
            </w:r>
          </w:p>
        </w:tc>
        <w:tc>
          <w:tcPr>
            <w:tcW w:w="8477" w:type="dxa"/>
          </w:tcPr>
          <w:p w14:paraId="437055ED" w14:textId="77777777" w:rsidR="00C31167" w:rsidRPr="005415D1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5415D1">
              <w:rPr>
                <w:rStyle w:val="Strong"/>
                <w:rFonts w:asciiTheme="minorHAnsi" w:hAnsiTheme="minorHAnsi" w:cstheme="minorHAnsi"/>
              </w:rPr>
              <w:t>Approval of amended Joint Audit Committee Terms of Reference</w:t>
            </w:r>
          </w:p>
          <w:p w14:paraId="479D2D67" w14:textId="77777777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55AB23DE" w14:textId="77777777" w:rsidR="00C31167" w:rsidRDefault="00C31167" w:rsidP="00731D66">
            <w:pPr>
              <w:pStyle w:val="NoSpacing"/>
              <w:ind w:right="-82"/>
              <w:rPr>
                <w:rStyle w:val="Strong"/>
                <w:rFonts w:ascii="Aptos" w:hAnsi="Aptos" w:cstheme="minorHAnsi"/>
                <w:b w:val="0"/>
                <w:bCs w:val="0"/>
              </w:rPr>
            </w:pPr>
            <w:r w:rsidRPr="002D2698">
              <w:rPr>
                <w:rStyle w:val="Strong"/>
                <w:rFonts w:asciiTheme="minorHAnsi" w:hAnsiTheme="minorHAnsi" w:cstheme="minorHAnsi"/>
              </w:rPr>
              <w:t>Decision: Approval and agreement to adopt these as they are, but action to reconsider the number of attendees needs to be increased</w:t>
            </w:r>
            <w:r w:rsidRPr="00BD7EFA">
              <w:rPr>
                <w:rStyle w:val="Strong"/>
                <w:rFonts w:ascii="Aptos" w:hAnsi="Aptos" w:cstheme="minorHAnsi"/>
              </w:rPr>
              <w:t>.</w:t>
            </w:r>
            <w:r w:rsidRPr="00BD7EFA">
              <w:rPr>
                <w:rStyle w:val="Strong"/>
                <w:rFonts w:ascii="Aptos" w:hAnsi="Aptos" w:cstheme="minorHAnsi"/>
                <w:b w:val="0"/>
                <w:bCs w:val="0"/>
              </w:rPr>
              <w:t xml:space="preserve">   </w:t>
            </w:r>
          </w:p>
          <w:p w14:paraId="0C53A0FE" w14:textId="77777777" w:rsidR="00731D66" w:rsidRDefault="00731D66" w:rsidP="00731D66">
            <w:pPr>
              <w:pStyle w:val="NoSpacing"/>
              <w:ind w:right="-82"/>
              <w:rPr>
                <w:rStyle w:val="Strong"/>
                <w:rFonts w:ascii="Aptos" w:hAnsi="Aptos" w:cstheme="minorHAnsi"/>
                <w:b w:val="0"/>
                <w:bCs w:val="0"/>
              </w:rPr>
            </w:pPr>
          </w:p>
          <w:p w14:paraId="361C8E24" w14:textId="32A43463" w:rsidR="00731D66" w:rsidRPr="005415D1" w:rsidRDefault="00731D66" w:rsidP="00731D66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C31167" w:rsidRPr="005E2615" w14:paraId="5558C4BE" w14:textId="77777777" w:rsidTr="00AD062B">
        <w:tc>
          <w:tcPr>
            <w:tcW w:w="539" w:type="dxa"/>
          </w:tcPr>
          <w:p w14:paraId="7BB646B4" w14:textId="73114DC7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8</w:t>
            </w:r>
            <w:r>
              <w:rPr>
                <w:rStyle w:val="Strong"/>
              </w:rPr>
              <w:t xml:space="preserve">. </w:t>
            </w:r>
          </w:p>
        </w:tc>
        <w:tc>
          <w:tcPr>
            <w:tcW w:w="8477" w:type="dxa"/>
          </w:tcPr>
          <w:p w14:paraId="355ABEEB" w14:textId="77777777" w:rsidR="00C31167" w:rsidRDefault="00C31167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5415D1">
              <w:rPr>
                <w:rStyle w:val="Strong"/>
                <w:rFonts w:asciiTheme="minorHAnsi" w:hAnsiTheme="minorHAnsi" w:cstheme="minorHAnsi"/>
              </w:rPr>
              <w:t>AOB</w:t>
            </w:r>
          </w:p>
          <w:p w14:paraId="755AFEEE" w14:textId="77777777" w:rsidR="00C31167" w:rsidRPr="00C9479F" w:rsidRDefault="00C31167" w:rsidP="00C31167">
            <w:pPr>
              <w:pStyle w:val="NoSpacing"/>
              <w:ind w:right="-82"/>
              <w:rPr>
                <w:rStyle w:val="Strong"/>
                <w:rFonts w:cstheme="minorHAnsi"/>
              </w:rPr>
            </w:pPr>
          </w:p>
          <w:p w14:paraId="051E4C51" w14:textId="77777777" w:rsidR="00731D66" w:rsidRDefault="00C31167" w:rsidP="00731D66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9479F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JC raised issue regarding notice </w:t>
            </w:r>
            <w:r w:rsidRPr="002D269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that has been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issued</w:t>
            </w:r>
            <w:r>
              <w:rPr>
                <w:rStyle w:val="Strong"/>
                <w:rFonts w:cstheme="minorHAnsi"/>
              </w:rPr>
              <w:t xml:space="preserve"> </w:t>
            </w:r>
            <w:r w:rsidRPr="00C9479F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on their Fleet Motor Insurance, </w:t>
            </w:r>
            <w:r w:rsidRPr="002D269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they are</w:t>
            </w:r>
            <w:r>
              <w:rPr>
                <w:rStyle w:val="Strong"/>
                <w:rFonts w:cstheme="minorHAnsi"/>
              </w:rPr>
              <w:t xml:space="preserve"> </w:t>
            </w:r>
            <w:r w:rsidRPr="00C9479F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now going back to market to look to negotiate a new supplier.</w:t>
            </w:r>
          </w:p>
          <w:p w14:paraId="4E89231D" w14:textId="77777777" w:rsidR="00C31167" w:rsidRDefault="00C31167" w:rsidP="00731D66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9479F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 </w:t>
            </w:r>
          </w:p>
          <w:p w14:paraId="1AC36725" w14:textId="0B959914" w:rsidR="00731D66" w:rsidRPr="005415D1" w:rsidRDefault="00731D66" w:rsidP="00731D66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</w:tc>
      </w:tr>
    </w:tbl>
    <w:p w14:paraId="0152250D" w14:textId="7D451C8F" w:rsidR="005E2615" w:rsidRDefault="005E2615">
      <w:pPr>
        <w:rPr>
          <w:rFonts w:asciiTheme="minorHAnsi" w:hAnsiTheme="minorHAnsi"/>
        </w:rPr>
      </w:pPr>
    </w:p>
    <w:p w14:paraId="572B23AC" w14:textId="2D33A981" w:rsidR="00C31167" w:rsidRPr="005E2615" w:rsidRDefault="00C31167">
      <w:pPr>
        <w:rPr>
          <w:rFonts w:asciiTheme="minorHAnsi" w:hAnsiTheme="minorHAnsi"/>
        </w:rPr>
      </w:pPr>
      <w:r>
        <w:rPr>
          <w:rFonts w:asciiTheme="minorHAnsi" w:hAnsiTheme="minorHAnsi"/>
        </w:rPr>
        <w:t>The meeting closed at 15.30</w:t>
      </w:r>
    </w:p>
    <w:sectPr w:rsidR="00C31167" w:rsidRPr="005E2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88B"/>
    <w:multiLevelType w:val="hybridMultilevel"/>
    <w:tmpl w:val="471A0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D87"/>
    <w:multiLevelType w:val="hybridMultilevel"/>
    <w:tmpl w:val="92C06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1E06"/>
    <w:multiLevelType w:val="hybridMultilevel"/>
    <w:tmpl w:val="1EBA33D8"/>
    <w:lvl w:ilvl="0" w:tplc="6FD47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2E5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8A4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A10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23E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6D9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68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E1A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2A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3347"/>
    <w:multiLevelType w:val="hybridMultilevel"/>
    <w:tmpl w:val="BDE45D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02129"/>
    <w:multiLevelType w:val="hybridMultilevel"/>
    <w:tmpl w:val="D40A0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FA1"/>
    <w:multiLevelType w:val="hybridMultilevel"/>
    <w:tmpl w:val="47D2C720"/>
    <w:lvl w:ilvl="0" w:tplc="AF049CF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0C2972"/>
    <w:multiLevelType w:val="hybridMultilevel"/>
    <w:tmpl w:val="E036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716D3"/>
    <w:multiLevelType w:val="hybridMultilevel"/>
    <w:tmpl w:val="9EFC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B082F"/>
    <w:multiLevelType w:val="hybridMultilevel"/>
    <w:tmpl w:val="3CF6FC78"/>
    <w:lvl w:ilvl="0" w:tplc="4B14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CD4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D12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40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2A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A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C3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E9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0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6743F8"/>
    <w:multiLevelType w:val="hybridMultilevel"/>
    <w:tmpl w:val="77D80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87142"/>
    <w:multiLevelType w:val="hybridMultilevel"/>
    <w:tmpl w:val="FD8EB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82F2F"/>
    <w:multiLevelType w:val="hybridMultilevel"/>
    <w:tmpl w:val="D4D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6FC8"/>
    <w:multiLevelType w:val="hybridMultilevel"/>
    <w:tmpl w:val="2760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12927"/>
    <w:multiLevelType w:val="hybridMultilevel"/>
    <w:tmpl w:val="D520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3DBC"/>
    <w:multiLevelType w:val="hybridMultilevel"/>
    <w:tmpl w:val="183E721C"/>
    <w:lvl w:ilvl="0" w:tplc="4B14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D0A98"/>
    <w:multiLevelType w:val="hybridMultilevel"/>
    <w:tmpl w:val="486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319E1"/>
    <w:multiLevelType w:val="hybridMultilevel"/>
    <w:tmpl w:val="EDF8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262F"/>
    <w:multiLevelType w:val="hybridMultilevel"/>
    <w:tmpl w:val="3788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70A2"/>
    <w:multiLevelType w:val="hybridMultilevel"/>
    <w:tmpl w:val="88440BAE"/>
    <w:lvl w:ilvl="0" w:tplc="555AAF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AA6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CBF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4B3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8C1B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E3A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01E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6CD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4E7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6420069">
    <w:abstractNumId w:val="2"/>
  </w:num>
  <w:num w:numId="2" w16cid:durableId="31423908">
    <w:abstractNumId w:val="16"/>
  </w:num>
  <w:num w:numId="3" w16cid:durableId="834614293">
    <w:abstractNumId w:val="13"/>
  </w:num>
  <w:num w:numId="4" w16cid:durableId="106776642">
    <w:abstractNumId w:val="18"/>
  </w:num>
  <w:num w:numId="5" w16cid:durableId="350693241">
    <w:abstractNumId w:val="3"/>
  </w:num>
  <w:num w:numId="6" w16cid:durableId="1636716730">
    <w:abstractNumId w:val="12"/>
  </w:num>
  <w:num w:numId="7" w16cid:durableId="168640325">
    <w:abstractNumId w:val="1"/>
  </w:num>
  <w:num w:numId="8" w16cid:durableId="467094258">
    <w:abstractNumId w:val="15"/>
  </w:num>
  <w:num w:numId="9" w16cid:durableId="1882521936">
    <w:abstractNumId w:val="6"/>
  </w:num>
  <w:num w:numId="10" w16cid:durableId="890846003">
    <w:abstractNumId w:val="11"/>
  </w:num>
  <w:num w:numId="11" w16cid:durableId="1465997706">
    <w:abstractNumId w:val="8"/>
  </w:num>
  <w:num w:numId="12" w16cid:durableId="236209111">
    <w:abstractNumId w:val="14"/>
  </w:num>
  <w:num w:numId="13" w16cid:durableId="682438537">
    <w:abstractNumId w:val="5"/>
  </w:num>
  <w:num w:numId="14" w16cid:durableId="811294806">
    <w:abstractNumId w:val="10"/>
  </w:num>
  <w:num w:numId="15" w16cid:durableId="1270091636">
    <w:abstractNumId w:val="4"/>
  </w:num>
  <w:num w:numId="16" w16cid:durableId="299577434">
    <w:abstractNumId w:val="7"/>
  </w:num>
  <w:num w:numId="17" w16cid:durableId="202133531">
    <w:abstractNumId w:val="17"/>
  </w:num>
  <w:num w:numId="18" w16cid:durableId="240871011">
    <w:abstractNumId w:val="9"/>
  </w:num>
  <w:num w:numId="19" w16cid:durableId="109447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3D"/>
    <w:rsid w:val="000100A4"/>
    <w:rsid w:val="00015E99"/>
    <w:rsid w:val="0002480B"/>
    <w:rsid w:val="000260AC"/>
    <w:rsid w:val="00027D24"/>
    <w:rsid w:val="000339FF"/>
    <w:rsid w:val="00035845"/>
    <w:rsid w:val="00044483"/>
    <w:rsid w:val="00045A12"/>
    <w:rsid w:val="0004741A"/>
    <w:rsid w:val="000517E8"/>
    <w:rsid w:val="0005229F"/>
    <w:rsid w:val="00054022"/>
    <w:rsid w:val="00055CAB"/>
    <w:rsid w:val="0006279E"/>
    <w:rsid w:val="00062A26"/>
    <w:rsid w:val="000763B2"/>
    <w:rsid w:val="00082B62"/>
    <w:rsid w:val="00083FEC"/>
    <w:rsid w:val="000850D9"/>
    <w:rsid w:val="00091F5B"/>
    <w:rsid w:val="00093B31"/>
    <w:rsid w:val="00093BEA"/>
    <w:rsid w:val="000A2D9B"/>
    <w:rsid w:val="000A410C"/>
    <w:rsid w:val="000B5E0B"/>
    <w:rsid w:val="000C2069"/>
    <w:rsid w:val="000D3CE2"/>
    <w:rsid w:val="000D4341"/>
    <w:rsid w:val="000D4756"/>
    <w:rsid w:val="000D59D7"/>
    <w:rsid w:val="000D5E5C"/>
    <w:rsid w:val="000D7BB8"/>
    <w:rsid w:val="000E0996"/>
    <w:rsid w:val="000E3EB9"/>
    <w:rsid w:val="000E48BE"/>
    <w:rsid w:val="000F01B4"/>
    <w:rsid w:val="000F1A01"/>
    <w:rsid w:val="00101DA7"/>
    <w:rsid w:val="00111D64"/>
    <w:rsid w:val="00114AF3"/>
    <w:rsid w:val="001164A8"/>
    <w:rsid w:val="00123DD7"/>
    <w:rsid w:val="001244AD"/>
    <w:rsid w:val="001328A0"/>
    <w:rsid w:val="0013554B"/>
    <w:rsid w:val="00137700"/>
    <w:rsid w:val="0014328D"/>
    <w:rsid w:val="00146888"/>
    <w:rsid w:val="00147D1A"/>
    <w:rsid w:val="00150F29"/>
    <w:rsid w:val="0016158F"/>
    <w:rsid w:val="00162857"/>
    <w:rsid w:val="001703A0"/>
    <w:rsid w:val="001720E6"/>
    <w:rsid w:val="001772CD"/>
    <w:rsid w:val="00177FAD"/>
    <w:rsid w:val="00191B05"/>
    <w:rsid w:val="00192856"/>
    <w:rsid w:val="0019479C"/>
    <w:rsid w:val="001A6C7B"/>
    <w:rsid w:val="001B390A"/>
    <w:rsid w:val="001B6A60"/>
    <w:rsid w:val="001C382B"/>
    <w:rsid w:val="001C3BDF"/>
    <w:rsid w:val="001D0791"/>
    <w:rsid w:val="001D1AA4"/>
    <w:rsid w:val="001D200D"/>
    <w:rsid w:val="001E08E1"/>
    <w:rsid w:val="001E167E"/>
    <w:rsid w:val="001F184B"/>
    <w:rsid w:val="001F5CE1"/>
    <w:rsid w:val="001F5E41"/>
    <w:rsid w:val="00245BCE"/>
    <w:rsid w:val="00251503"/>
    <w:rsid w:val="002517D2"/>
    <w:rsid w:val="0026034B"/>
    <w:rsid w:val="00262CA1"/>
    <w:rsid w:val="00266AE5"/>
    <w:rsid w:val="0026780A"/>
    <w:rsid w:val="00275A49"/>
    <w:rsid w:val="00295341"/>
    <w:rsid w:val="002A117F"/>
    <w:rsid w:val="002B0F41"/>
    <w:rsid w:val="002B195F"/>
    <w:rsid w:val="002B2DF0"/>
    <w:rsid w:val="002C0BC7"/>
    <w:rsid w:val="002C3BC4"/>
    <w:rsid w:val="002D09AA"/>
    <w:rsid w:val="002D773F"/>
    <w:rsid w:val="002D7913"/>
    <w:rsid w:val="002E185B"/>
    <w:rsid w:val="002F26C0"/>
    <w:rsid w:val="002F2DFD"/>
    <w:rsid w:val="002F4B14"/>
    <w:rsid w:val="00301B1A"/>
    <w:rsid w:val="00312FF7"/>
    <w:rsid w:val="00326373"/>
    <w:rsid w:val="00337ACE"/>
    <w:rsid w:val="00347392"/>
    <w:rsid w:val="00360820"/>
    <w:rsid w:val="00380D79"/>
    <w:rsid w:val="003905D4"/>
    <w:rsid w:val="003A2EF0"/>
    <w:rsid w:val="003B1F49"/>
    <w:rsid w:val="003B2BC7"/>
    <w:rsid w:val="003B33EB"/>
    <w:rsid w:val="003B61BD"/>
    <w:rsid w:val="003B7BF9"/>
    <w:rsid w:val="003C0A64"/>
    <w:rsid w:val="003C1C31"/>
    <w:rsid w:val="003C54A7"/>
    <w:rsid w:val="003D35D2"/>
    <w:rsid w:val="003D7B12"/>
    <w:rsid w:val="003E0FC3"/>
    <w:rsid w:val="003E190D"/>
    <w:rsid w:val="003E69B2"/>
    <w:rsid w:val="003F1437"/>
    <w:rsid w:val="003F3363"/>
    <w:rsid w:val="003F54A5"/>
    <w:rsid w:val="003F6193"/>
    <w:rsid w:val="003F732C"/>
    <w:rsid w:val="003F7378"/>
    <w:rsid w:val="004024EE"/>
    <w:rsid w:val="00416F18"/>
    <w:rsid w:val="0043286D"/>
    <w:rsid w:val="004329C9"/>
    <w:rsid w:val="004830BF"/>
    <w:rsid w:val="00490634"/>
    <w:rsid w:val="004A1D8A"/>
    <w:rsid w:val="004A330F"/>
    <w:rsid w:val="004B359B"/>
    <w:rsid w:val="004B3BDE"/>
    <w:rsid w:val="004C0A27"/>
    <w:rsid w:val="004C34F8"/>
    <w:rsid w:val="004C39DB"/>
    <w:rsid w:val="004C56DF"/>
    <w:rsid w:val="004D2124"/>
    <w:rsid w:val="004D5310"/>
    <w:rsid w:val="00517521"/>
    <w:rsid w:val="0053117B"/>
    <w:rsid w:val="00573DC8"/>
    <w:rsid w:val="00575F08"/>
    <w:rsid w:val="005865A0"/>
    <w:rsid w:val="00587196"/>
    <w:rsid w:val="0059251D"/>
    <w:rsid w:val="00593327"/>
    <w:rsid w:val="00593DAF"/>
    <w:rsid w:val="00594C35"/>
    <w:rsid w:val="005A2CED"/>
    <w:rsid w:val="005C0060"/>
    <w:rsid w:val="005D2482"/>
    <w:rsid w:val="005D26B4"/>
    <w:rsid w:val="005E2615"/>
    <w:rsid w:val="005F76FE"/>
    <w:rsid w:val="00606474"/>
    <w:rsid w:val="00606824"/>
    <w:rsid w:val="006176BB"/>
    <w:rsid w:val="00624ACC"/>
    <w:rsid w:val="00637EAF"/>
    <w:rsid w:val="00640B04"/>
    <w:rsid w:val="006435A4"/>
    <w:rsid w:val="006435DD"/>
    <w:rsid w:val="006462A9"/>
    <w:rsid w:val="00647F9C"/>
    <w:rsid w:val="00651328"/>
    <w:rsid w:val="0065364A"/>
    <w:rsid w:val="00655648"/>
    <w:rsid w:val="00663149"/>
    <w:rsid w:val="006812C0"/>
    <w:rsid w:val="006857BD"/>
    <w:rsid w:val="006975BB"/>
    <w:rsid w:val="00697991"/>
    <w:rsid w:val="00697E34"/>
    <w:rsid w:val="006C16DF"/>
    <w:rsid w:val="006C25E1"/>
    <w:rsid w:val="006C283F"/>
    <w:rsid w:val="006C6592"/>
    <w:rsid w:val="006C72E9"/>
    <w:rsid w:val="006C7F16"/>
    <w:rsid w:val="006D186D"/>
    <w:rsid w:val="006D293D"/>
    <w:rsid w:val="006D60AB"/>
    <w:rsid w:val="00700C21"/>
    <w:rsid w:val="007110B0"/>
    <w:rsid w:val="00712694"/>
    <w:rsid w:val="00713E10"/>
    <w:rsid w:val="00717E0F"/>
    <w:rsid w:val="007244CB"/>
    <w:rsid w:val="00724860"/>
    <w:rsid w:val="00730632"/>
    <w:rsid w:val="00731D66"/>
    <w:rsid w:val="00746963"/>
    <w:rsid w:val="00761AFE"/>
    <w:rsid w:val="007714B9"/>
    <w:rsid w:val="00782564"/>
    <w:rsid w:val="0078489F"/>
    <w:rsid w:val="0078597E"/>
    <w:rsid w:val="007879FE"/>
    <w:rsid w:val="00791ED1"/>
    <w:rsid w:val="007933E3"/>
    <w:rsid w:val="00797409"/>
    <w:rsid w:val="007A008B"/>
    <w:rsid w:val="007A12CA"/>
    <w:rsid w:val="007A181A"/>
    <w:rsid w:val="007A2632"/>
    <w:rsid w:val="007A3418"/>
    <w:rsid w:val="007A481D"/>
    <w:rsid w:val="007A6B6C"/>
    <w:rsid w:val="007C498C"/>
    <w:rsid w:val="007C5556"/>
    <w:rsid w:val="007E5605"/>
    <w:rsid w:val="007F1BA1"/>
    <w:rsid w:val="007F3DCC"/>
    <w:rsid w:val="00801113"/>
    <w:rsid w:val="00802DC3"/>
    <w:rsid w:val="008135F8"/>
    <w:rsid w:val="008225D2"/>
    <w:rsid w:val="0084228F"/>
    <w:rsid w:val="00857E05"/>
    <w:rsid w:val="0086182A"/>
    <w:rsid w:val="00862D32"/>
    <w:rsid w:val="00871620"/>
    <w:rsid w:val="0087223D"/>
    <w:rsid w:val="00872B9E"/>
    <w:rsid w:val="00885DD0"/>
    <w:rsid w:val="00890F1A"/>
    <w:rsid w:val="008962A5"/>
    <w:rsid w:val="008B168E"/>
    <w:rsid w:val="008B16D6"/>
    <w:rsid w:val="008B1DB1"/>
    <w:rsid w:val="008C1D53"/>
    <w:rsid w:val="008C78FF"/>
    <w:rsid w:val="008E66E4"/>
    <w:rsid w:val="008F227B"/>
    <w:rsid w:val="009008F4"/>
    <w:rsid w:val="00912D0D"/>
    <w:rsid w:val="009212F2"/>
    <w:rsid w:val="0092233F"/>
    <w:rsid w:val="00926F34"/>
    <w:rsid w:val="00930884"/>
    <w:rsid w:val="009366A2"/>
    <w:rsid w:val="00942E28"/>
    <w:rsid w:val="009562D5"/>
    <w:rsid w:val="009614F7"/>
    <w:rsid w:val="00965D54"/>
    <w:rsid w:val="00965FF7"/>
    <w:rsid w:val="00966185"/>
    <w:rsid w:val="009665C6"/>
    <w:rsid w:val="00966BE6"/>
    <w:rsid w:val="00971E0C"/>
    <w:rsid w:val="00976CD6"/>
    <w:rsid w:val="0098186F"/>
    <w:rsid w:val="009841E0"/>
    <w:rsid w:val="00984A9B"/>
    <w:rsid w:val="00985646"/>
    <w:rsid w:val="00985C30"/>
    <w:rsid w:val="00985F98"/>
    <w:rsid w:val="009958FF"/>
    <w:rsid w:val="009A1FBC"/>
    <w:rsid w:val="009A72DF"/>
    <w:rsid w:val="009A7722"/>
    <w:rsid w:val="009D0717"/>
    <w:rsid w:val="009D6BA5"/>
    <w:rsid w:val="009E0EB6"/>
    <w:rsid w:val="009E161F"/>
    <w:rsid w:val="009E5EA4"/>
    <w:rsid w:val="009E7CBD"/>
    <w:rsid w:val="009F6D82"/>
    <w:rsid w:val="00A01822"/>
    <w:rsid w:val="00A065D5"/>
    <w:rsid w:val="00A06775"/>
    <w:rsid w:val="00A148A6"/>
    <w:rsid w:val="00A21D11"/>
    <w:rsid w:val="00A23CDA"/>
    <w:rsid w:val="00A26DE5"/>
    <w:rsid w:val="00A3332D"/>
    <w:rsid w:val="00A36A3A"/>
    <w:rsid w:val="00A4299F"/>
    <w:rsid w:val="00A43B56"/>
    <w:rsid w:val="00A47DC1"/>
    <w:rsid w:val="00A52C26"/>
    <w:rsid w:val="00A536FE"/>
    <w:rsid w:val="00A5515B"/>
    <w:rsid w:val="00A572C6"/>
    <w:rsid w:val="00A57FD6"/>
    <w:rsid w:val="00A6004A"/>
    <w:rsid w:val="00A60CA8"/>
    <w:rsid w:val="00A619D3"/>
    <w:rsid w:val="00A62A39"/>
    <w:rsid w:val="00A631E4"/>
    <w:rsid w:val="00A66F53"/>
    <w:rsid w:val="00A70771"/>
    <w:rsid w:val="00A71A35"/>
    <w:rsid w:val="00A72565"/>
    <w:rsid w:val="00A72C3D"/>
    <w:rsid w:val="00A801CC"/>
    <w:rsid w:val="00A8037A"/>
    <w:rsid w:val="00A91366"/>
    <w:rsid w:val="00A93924"/>
    <w:rsid w:val="00A979EA"/>
    <w:rsid w:val="00AA1AAD"/>
    <w:rsid w:val="00AA53DF"/>
    <w:rsid w:val="00AB499C"/>
    <w:rsid w:val="00AD062B"/>
    <w:rsid w:val="00AE5ECA"/>
    <w:rsid w:val="00AF31E6"/>
    <w:rsid w:val="00B01BFC"/>
    <w:rsid w:val="00B0320D"/>
    <w:rsid w:val="00B0381D"/>
    <w:rsid w:val="00B042D0"/>
    <w:rsid w:val="00B05333"/>
    <w:rsid w:val="00B06AF7"/>
    <w:rsid w:val="00B16F67"/>
    <w:rsid w:val="00B242B0"/>
    <w:rsid w:val="00B35221"/>
    <w:rsid w:val="00B35E0D"/>
    <w:rsid w:val="00B4273B"/>
    <w:rsid w:val="00B50722"/>
    <w:rsid w:val="00B56F81"/>
    <w:rsid w:val="00B6074C"/>
    <w:rsid w:val="00B65876"/>
    <w:rsid w:val="00B90D0B"/>
    <w:rsid w:val="00B93744"/>
    <w:rsid w:val="00B95348"/>
    <w:rsid w:val="00BA29FD"/>
    <w:rsid w:val="00BA4804"/>
    <w:rsid w:val="00BB7D38"/>
    <w:rsid w:val="00BD3588"/>
    <w:rsid w:val="00BD4FEC"/>
    <w:rsid w:val="00BD741F"/>
    <w:rsid w:val="00BF349B"/>
    <w:rsid w:val="00BF4F4A"/>
    <w:rsid w:val="00BF7C98"/>
    <w:rsid w:val="00C13264"/>
    <w:rsid w:val="00C31167"/>
    <w:rsid w:val="00C31AAF"/>
    <w:rsid w:val="00C321D8"/>
    <w:rsid w:val="00C42734"/>
    <w:rsid w:val="00C457DC"/>
    <w:rsid w:val="00C465E4"/>
    <w:rsid w:val="00C51864"/>
    <w:rsid w:val="00C706F7"/>
    <w:rsid w:val="00C70D0B"/>
    <w:rsid w:val="00C7143D"/>
    <w:rsid w:val="00C84AB7"/>
    <w:rsid w:val="00C9083D"/>
    <w:rsid w:val="00C9269B"/>
    <w:rsid w:val="00C93B4F"/>
    <w:rsid w:val="00C94D18"/>
    <w:rsid w:val="00CA096B"/>
    <w:rsid w:val="00CA3550"/>
    <w:rsid w:val="00CD072D"/>
    <w:rsid w:val="00CE20BD"/>
    <w:rsid w:val="00CE68EE"/>
    <w:rsid w:val="00CF0534"/>
    <w:rsid w:val="00CF0C29"/>
    <w:rsid w:val="00CF1EFB"/>
    <w:rsid w:val="00CF2D05"/>
    <w:rsid w:val="00CF40A3"/>
    <w:rsid w:val="00D00BF8"/>
    <w:rsid w:val="00D03950"/>
    <w:rsid w:val="00D04D19"/>
    <w:rsid w:val="00D07CAF"/>
    <w:rsid w:val="00D10D18"/>
    <w:rsid w:val="00D12ECD"/>
    <w:rsid w:val="00D21A23"/>
    <w:rsid w:val="00D22746"/>
    <w:rsid w:val="00D23644"/>
    <w:rsid w:val="00D2515B"/>
    <w:rsid w:val="00D27B77"/>
    <w:rsid w:val="00D33017"/>
    <w:rsid w:val="00D365D1"/>
    <w:rsid w:val="00D4264E"/>
    <w:rsid w:val="00D431C2"/>
    <w:rsid w:val="00D45B7B"/>
    <w:rsid w:val="00D507F6"/>
    <w:rsid w:val="00D50FFC"/>
    <w:rsid w:val="00D64E80"/>
    <w:rsid w:val="00D65E51"/>
    <w:rsid w:val="00D72509"/>
    <w:rsid w:val="00D728BC"/>
    <w:rsid w:val="00D72E7B"/>
    <w:rsid w:val="00D7630F"/>
    <w:rsid w:val="00D7777C"/>
    <w:rsid w:val="00D779D5"/>
    <w:rsid w:val="00D852BD"/>
    <w:rsid w:val="00D91729"/>
    <w:rsid w:val="00D9244F"/>
    <w:rsid w:val="00D96BD5"/>
    <w:rsid w:val="00D97807"/>
    <w:rsid w:val="00D97BA8"/>
    <w:rsid w:val="00DA0F6F"/>
    <w:rsid w:val="00DA274C"/>
    <w:rsid w:val="00DB2BF0"/>
    <w:rsid w:val="00DB7A46"/>
    <w:rsid w:val="00DC7E7E"/>
    <w:rsid w:val="00DD2065"/>
    <w:rsid w:val="00DD6CC3"/>
    <w:rsid w:val="00DE5DF6"/>
    <w:rsid w:val="00DF1D96"/>
    <w:rsid w:val="00DF35E9"/>
    <w:rsid w:val="00DF3A11"/>
    <w:rsid w:val="00DF6373"/>
    <w:rsid w:val="00E1203A"/>
    <w:rsid w:val="00E40E86"/>
    <w:rsid w:val="00E447AB"/>
    <w:rsid w:val="00E463CA"/>
    <w:rsid w:val="00E46C72"/>
    <w:rsid w:val="00E54DED"/>
    <w:rsid w:val="00E57F60"/>
    <w:rsid w:val="00E7058A"/>
    <w:rsid w:val="00E7170C"/>
    <w:rsid w:val="00E73365"/>
    <w:rsid w:val="00E75B89"/>
    <w:rsid w:val="00E7678F"/>
    <w:rsid w:val="00E84467"/>
    <w:rsid w:val="00E86C60"/>
    <w:rsid w:val="00EA1DF3"/>
    <w:rsid w:val="00EA7044"/>
    <w:rsid w:val="00EB6248"/>
    <w:rsid w:val="00EC33C3"/>
    <w:rsid w:val="00EE467E"/>
    <w:rsid w:val="00EE57CD"/>
    <w:rsid w:val="00EE57F7"/>
    <w:rsid w:val="00EF16C8"/>
    <w:rsid w:val="00EF68AE"/>
    <w:rsid w:val="00F0276B"/>
    <w:rsid w:val="00F02E7F"/>
    <w:rsid w:val="00F10C2F"/>
    <w:rsid w:val="00F139AA"/>
    <w:rsid w:val="00F16206"/>
    <w:rsid w:val="00F16A29"/>
    <w:rsid w:val="00F173BB"/>
    <w:rsid w:val="00F27ECF"/>
    <w:rsid w:val="00F3402C"/>
    <w:rsid w:val="00F432AC"/>
    <w:rsid w:val="00F43BC3"/>
    <w:rsid w:val="00F474E2"/>
    <w:rsid w:val="00F50DE9"/>
    <w:rsid w:val="00F531BA"/>
    <w:rsid w:val="00F561C1"/>
    <w:rsid w:val="00F61F4E"/>
    <w:rsid w:val="00F63E31"/>
    <w:rsid w:val="00F70DC1"/>
    <w:rsid w:val="00F729CD"/>
    <w:rsid w:val="00F93F09"/>
    <w:rsid w:val="00F964A7"/>
    <w:rsid w:val="00F96A91"/>
    <w:rsid w:val="00FA253E"/>
    <w:rsid w:val="00FA34C6"/>
    <w:rsid w:val="00FA3517"/>
    <w:rsid w:val="00FA65E6"/>
    <w:rsid w:val="00FB037A"/>
    <w:rsid w:val="00FB2003"/>
    <w:rsid w:val="00FC2749"/>
    <w:rsid w:val="00FC3031"/>
    <w:rsid w:val="00FC7027"/>
    <w:rsid w:val="00FD327A"/>
    <w:rsid w:val="00FD491C"/>
    <w:rsid w:val="00FD65A5"/>
    <w:rsid w:val="00FF0B9E"/>
    <w:rsid w:val="00FF2B8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40FC"/>
  <w15:chartTrackingRefBased/>
  <w15:docId w15:val="{1366B6BC-6400-4D38-884A-66BA8E8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3D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2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3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2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2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223D"/>
    <w:pPr>
      <w:spacing w:after="0" w:line="240" w:lineRule="auto"/>
    </w:pPr>
    <w:rPr>
      <w:rFonts w:ascii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87223D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223D"/>
    <w:rPr>
      <w:b/>
      <w:bCs/>
    </w:rPr>
  </w:style>
  <w:style w:type="paragraph" w:customStyle="1" w:styleId="Default">
    <w:name w:val="Default"/>
    <w:rsid w:val="00CD07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970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927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176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550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756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225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658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456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470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5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2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0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70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21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8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1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90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22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cid:image006.png@01DBA235.4DE12A1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64b2c5-4b1a-49e9-b184-50dd2a8cde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7010CA4BA6E43992650C4B390404F" ma:contentTypeVersion="11" ma:contentTypeDescription="Create a new document." ma:contentTypeScope="" ma:versionID="9be07ac96c4b6054f4da3ccfc92efd43">
  <xsd:schema xmlns:xsd="http://www.w3.org/2001/XMLSchema" xmlns:xs="http://www.w3.org/2001/XMLSchema" xmlns:p="http://schemas.microsoft.com/office/2006/metadata/properties" xmlns:ns3="6864b2c5-4b1a-49e9-b184-50dd2a8cde52" targetNamespace="http://schemas.microsoft.com/office/2006/metadata/properties" ma:root="true" ma:fieldsID="07eaab99968617e0132676261ad839e5" ns3:_="">
    <xsd:import namespace="6864b2c5-4b1a-49e9-b184-50dd2a8cde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b2c5-4b1a-49e9-b184-50dd2a8cde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0F25C-0C8B-43BA-A921-AB2C25F8F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E3D5F-A230-4DA3-BA6A-9ECF1FDD494F}">
  <ds:schemaRefs>
    <ds:schemaRef ds:uri="http://schemas.microsoft.com/office/2006/metadata/properties"/>
    <ds:schemaRef ds:uri="http://schemas.microsoft.com/office/infopath/2007/PartnerControls"/>
    <ds:schemaRef ds:uri="6864b2c5-4b1a-49e9-b184-50dd2a8cde52"/>
  </ds:schemaRefs>
</ds:datastoreItem>
</file>

<file path=customXml/itemProps3.xml><?xml version="1.0" encoding="utf-8"?>
<ds:datastoreItem xmlns:ds="http://schemas.openxmlformats.org/officeDocument/2006/customXml" ds:itemID="{FE84D9FC-962B-4CDE-AF28-794FB13A3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025F5-291C-432C-B712-660DD1B6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b2c5-4b1a-49e9-b184-50dd2a8cd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MCPHEE, Bethan 8814</dc:creator>
  <cp:keywords/>
  <dc:description/>
  <cp:lastModifiedBy>MCPHEE, Bethan 8814</cp:lastModifiedBy>
  <cp:revision>3</cp:revision>
  <dcterms:created xsi:type="dcterms:W3CDTF">2025-07-08T13:34:00Z</dcterms:created>
  <dcterms:modified xsi:type="dcterms:W3CDTF">2025-07-08T13:38:00Z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2024-10-02T14:04:38Z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cba0dcf1-bbdd-4df9-bccd-61e30899586e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0x0101006617010CA4BA6E43992650C4B390404F</vt:lpwstr>
  </property>
</Properties>
</file>