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C61A" w14:textId="77777777" w:rsidR="001C6633" w:rsidRPr="001C6633" w:rsidRDefault="001C6633" w:rsidP="001C6633">
      <w:r w:rsidRPr="001C6633">
        <w:drawing>
          <wp:inline distT="0" distB="0" distL="0" distR="0" wp14:anchorId="38DE111A" wp14:editId="3A42E5FE">
            <wp:extent cx="3105150" cy="1047750"/>
            <wp:effectExtent l="0" t="0" r="0" b="0"/>
            <wp:docPr id="4" name="Picture 1"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green and blu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1047750"/>
                    </a:xfrm>
                    <a:prstGeom prst="rect">
                      <a:avLst/>
                    </a:prstGeom>
                    <a:noFill/>
                    <a:ln>
                      <a:noFill/>
                    </a:ln>
                  </pic:spPr>
                </pic:pic>
              </a:graphicData>
            </a:graphic>
          </wp:inline>
        </w:drawing>
      </w:r>
    </w:p>
    <w:p w14:paraId="3271B1C8" w14:textId="77777777" w:rsidR="001C6633" w:rsidRPr="001C6633" w:rsidRDefault="001C6633" w:rsidP="001C6633">
      <w:pPr>
        <w:rPr>
          <w:b/>
        </w:rPr>
      </w:pPr>
      <w:r w:rsidRPr="001C6633">
        <w:rPr>
          <w:b/>
        </w:rPr>
        <w:t>Police and Crime Commissioner and Chief Constable</w:t>
      </w:r>
    </w:p>
    <w:p w14:paraId="4EBE136E" w14:textId="77777777" w:rsidR="001C6633" w:rsidRPr="001C6633" w:rsidRDefault="001C6633" w:rsidP="001C6633">
      <w:pPr>
        <w:rPr>
          <w:b/>
        </w:rPr>
      </w:pPr>
      <w:r w:rsidRPr="001C6633">
        <w:rPr>
          <w:b/>
        </w:rPr>
        <w:t>Accountability and Performance Meeting</w:t>
      </w:r>
    </w:p>
    <w:p w14:paraId="6CFC51A1" w14:textId="4AE6E940" w:rsidR="001C6633" w:rsidRPr="001C6633" w:rsidRDefault="001C6633" w:rsidP="001C6633">
      <w:pPr>
        <w:rPr>
          <w:b/>
        </w:rPr>
      </w:pPr>
      <w:r>
        <w:t>15</w:t>
      </w:r>
      <w:r w:rsidRPr="001C6633">
        <w:rPr>
          <w:vertAlign w:val="superscript"/>
        </w:rPr>
        <w:t>th</w:t>
      </w:r>
      <w:r w:rsidRPr="001C6633">
        <w:t xml:space="preserve"> </w:t>
      </w:r>
      <w:r>
        <w:t>January</w:t>
      </w:r>
      <w:r w:rsidRPr="001C6633">
        <w:t xml:space="preserve"> 202</w:t>
      </w:r>
      <w:r>
        <w:t>6</w:t>
      </w:r>
      <w:r w:rsidRPr="001C6633">
        <w:t>, 10:30-11.30</w:t>
      </w:r>
      <w:r w:rsidRPr="001C6633">
        <w:rPr>
          <w:b/>
        </w:rPr>
        <w:t xml:space="preserve">: </w:t>
      </w:r>
      <w:r w:rsidRPr="001C6633">
        <w:t>Gold Command, Police HQ</w:t>
      </w:r>
    </w:p>
    <w:p w14:paraId="26D47232" w14:textId="77777777" w:rsidR="001C6633" w:rsidRPr="001C6633" w:rsidRDefault="001C6633" w:rsidP="001C6633">
      <w:pPr>
        <w:rPr>
          <w:b/>
          <w:bCs/>
        </w:rPr>
      </w:pPr>
      <w:r w:rsidRPr="001C6633">
        <w:rPr>
          <w:b/>
          <w:bCs/>
        </w:rPr>
        <w:t>Meeting note</w:t>
      </w:r>
    </w:p>
    <w:p w14:paraId="3F2DA070" w14:textId="3D67B32E" w:rsidR="001C6633" w:rsidRPr="001C6633" w:rsidRDefault="001C6633" w:rsidP="001C6633">
      <w:r w:rsidRPr="001C6633">
        <w:t xml:space="preserve">On </w:t>
      </w:r>
      <w:r>
        <w:t>15 January</w:t>
      </w:r>
      <w:r w:rsidRPr="001C6633">
        <w:t xml:space="preserve"> 202</w:t>
      </w:r>
      <w:r>
        <w:t>6</w:t>
      </w:r>
      <w:r w:rsidRPr="001C6633">
        <w:t>, the Police and Crime Commissioner for Hertfordshire, Jonathan Ash-Edwards, chaired the monthly Accountability and Performance Meeting, joined by Chief Constable Andy Prophet. These meetings support the Commissioner’s statutory duty to hold the Chief Constable to account for the performance of Hertfordshire Constabulary.</w:t>
      </w:r>
    </w:p>
    <w:p w14:paraId="5470ABF9" w14:textId="77777777" w:rsidR="001C6633" w:rsidRPr="001C6633" w:rsidRDefault="001C6633" w:rsidP="001C6633">
      <w:pPr>
        <w:rPr>
          <w:b/>
          <w:bCs/>
        </w:rPr>
      </w:pPr>
      <w:r w:rsidRPr="001C6633">
        <w:rPr>
          <w:b/>
          <w:bCs/>
        </w:rPr>
        <w:t>Agenda:</w:t>
      </w:r>
    </w:p>
    <w:p w14:paraId="01824DA5" w14:textId="49BC571F" w:rsidR="001C6633" w:rsidRPr="001C6633" w:rsidRDefault="001C6633" w:rsidP="001C6633">
      <w:pPr>
        <w:rPr>
          <w:b/>
          <w:bCs/>
        </w:rPr>
      </w:pPr>
      <w:r w:rsidRPr="001C6633">
        <w:rPr>
          <w:b/>
          <w:bCs/>
        </w:rPr>
        <w:t xml:space="preserve">Item 1: </w:t>
      </w:r>
      <w:r w:rsidR="00253458">
        <w:rPr>
          <w:b/>
          <w:bCs/>
        </w:rPr>
        <w:t xml:space="preserve">Firearms Licensing </w:t>
      </w:r>
    </w:p>
    <w:p w14:paraId="7EE972C7" w14:textId="6B867E74" w:rsidR="001C6633" w:rsidRPr="001C6633" w:rsidRDefault="001C6633" w:rsidP="001C6633">
      <w:pPr>
        <w:rPr>
          <w:b/>
          <w:bCs/>
        </w:rPr>
      </w:pPr>
      <w:r w:rsidRPr="001C6633">
        <w:rPr>
          <w:b/>
          <w:bCs/>
        </w:rPr>
        <w:t>Item 2: C</w:t>
      </w:r>
      <w:r w:rsidR="00E1081A">
        <w:rPr>
          <w:b/>
          <w:bCs/>
        </w:rPr>
        <w:t>rime Investigation and solving</w:t>
      </w:r>
    </w:p>
    <w:p w14:paraId="5CE53334" w14:textId="65E7AB52" w:rsidR="001C6633" w:rsidRPr="001C6633" w:rsidRDefault="001C6633" w:rsidP="001C6633">
      <w:pPr>
        <w:rPr>
          <w:b/>
          <w:bCs/>
        </w:rPr>
      </w:pPr>
      <w:r w:rsidRPr="001C6633">
        <w:rPr>
          <w:b/>
          <w:bCs/>
        </w:rPr>
        <w:t xml:space="preserve">Item 3: </w:t>
      </w:r>
      <w:r w:rsidR="00BC1E19">
        <w:rPr>
          <w:b/>
          <w:bCs/>
        </w:rPr>
        <w:t>Project vigila</w:t>
      </w:r>
      <w:r w:rsidR="00E15E4E">
        <w:rPr>
          <w:b/>
          <w:bCs/>
        </w:rPr>
        <w:t xml:space="preserve">nt </w:t>
      </w:r>
    </w:p>
    <w:p w14:paraId="2F5C2C79" w14:textId="600A61BE" w:rsidR="00E15E4E" w:rsidRDefault="001C6633" w:rsidP="001C6633">
      <w:pPr>
        <w:rPr>
          <w:b/>
          <w:bCs/>
        </w:rPr>
      </w:pPr>
      <w:r w:rsidRPr="001C6633">
        <w:rPr>
          <w:b/>
          <w:bCs/>
        </w:rPr>
        <w:t xml:space="preserve">Item 4: </w:t>
      </w:r>
      <w:r w:rsidR="00E15E4E">
        <w:rPr>
          <w:b/>
          <w:bCs/>
        </w:rPr>
        <w:t xml:space="preserve">Public Protection updates </w:t>
      </w:r>
    </w:p>
    <w:p w14:paraId="7B30F6CC" w14:textId="16470224" w:rsidR="001C6633" w:rsidRDefault="001C6633" w:rsidP="001C6633">
      <w:pPr>
        <w:rPr>
          <w:b/>
          <w:bCs/>
          <w:u w:val="single"/>
        </w:rPr>
      </w:pPr>
      <w:r w:rsidRPr="00045F33">
        <w:rPr>
          <w:b/>
          <w:bCs/>
          <w:u w:val="single"/>
        </w:rPr>
        <w:t>Item 1:</w:t>
      </w:r>
      <w:r w:rsidR="00045F33" w:rsidRPr="00045F33">
        <w:rPr>
          <w:b/>
          <w:bCs/>
          <w:u w:val="single"/>
        </w:rPr>
        <w:t xml:space="preserve"> </w:t>
      </w:r>
      <w:r w:rsidR="00045F33">
        <w:rPr>
          <w:b/>
          <w:bCs/>
          <w:u w:val="single"/>
        </w:rPr>
        <w:t>F</w:t>
      </w:r>
      <w:r w:rsidR="00045F33" w:rsidRPr="00045F33">
        <w:rPr>
          <w:b/>
          <w:bCs/>
          <w:u w:val="single"/>
        </w:rPr>
        <w:t xml:space="preserve">irearms Licensing </w:t>
      </w:r>
    </w:p>
    <w:p w14:paraId="6A94D179" w14:textId="264FEC49" w:rsidR="00752B86" w:rsidRPr="00752B86" w:rsidRDefault="00752B86" w:rsidP="00752B86">
      <w:pPr>
        <w:pStyle w:val="ListParagraph"/>
        <w:numPr>
          <w:ilvl w:val="0"/>
          <w:numId w:val="2"/>
        </w:numPr>
      </w:pPr>
      <w:r w:rsidRPr="00752B86">
        <w:t xml:space="preserve">The Chief Constable responded to HMIC findings that identified concerns about the efficiency, resourcing and robustness of firearms licensing across the Bedfordshire, Cambridgeshire and Hertfordshire collaboration, noting that productivity increased significantly during </w:t>
      </w:r>
      <w:r w:rsidR="007634C8" w:rsidRPr="00752B86">
        <w:t>2025,</w:t>
      </w:r>
      <w:r w:rsidRPr="00752B86">
        <w:t xml:space="preserve"> but backlogs remain for renewals and new applications.</w:t>
      </w:r>
    </w:p>
    <w:p w14:paraId="6A34FE13" w14:textId="77777777" w:rsidR="00752B86" w:rsidRPr="00752B86" w:rsidRDefault="00752B86" w:rsidP="00752B86">
      <w:pPr>
        <w:pStyle w:val="ListParagraph"/>
        <w:numPr>
          <w:ilvl w:val="0"/>
          <w:numId w:val="2"/>
        </w:numPr>
      </w:pPr>
      <w:r w:rsidRPr="00752B86">
        <w:t xml:space="preserve">To address this, </w:t>
      </w:r>
      <w:r w:rsidRPr="00282A92">
        <w:rPr>
          <w:b/>
          <w:bCs/>
        </w:rPr>
        <w:t>staffing levels are being substantially increased</w:t>
      </w:r>
      <w:r w:rsidRPr="00752B86">
        <w:t>, supported by bespoke College of Policing training and the introduction of a new case management system to improve risk</w:t>
      </w:r>
      <w:r w:rsidRPr="00752B86">
        <w:rPr>
          <w:rFonts w:ascii="Cambria Math" w:hAnsi="Cambria Math" w:cs="Cambria Math"/>
        </w:rPr>
        <w:t>‑</w:t>
      </w:r>
      <w:r w:rsidRPr="00752B86">
        <w:t>based prioritisation and workflow.</w:t>
      </w:r>
    </w:p>
    <w:p w14:paraId="096558EA" w14:textId="0E04070E" w:rsidR="00045F33" w:rsidRDefault="00752B86" w:rsidP="00752B86">
      <w:pPr>
        <w:pStyle w:val="ListParagraph"/>
        <w:numPr>
          <w:ilvl w:val="0"/>
          <w:numId w:val="2"/>
        </w:numPr>
      </w:pPr>
      <w:r w:rsidRPr="00752B86">
        <w:t>An urgent review of desk</w:t>
      </w:r>
      <w:r w:rsidRPr="00752B86">
        <w:rPr>
          <w:rFonts w:ascii="Cambria Math" w:hAnsi="Cambria Math" w:cs="Cambria Math"/>
        </w:rPr>
        <w:t>‑</w:t>
      </w:r>
      <w:r w:rsidRPr="00752B86">
        <w:t>based risk assessments for shotgun renewals has been commissioned, alongside improvements to communication with applicants, including resolving unanswered correspondence.</w:t>
      </w:r>
    </w:p>
    <w:p w14:paraId="2128C6A6" w14:textId="7B2840B4" w:rsidR="001A5973" w:rsidRPr="00C25DC5" w:rsidRDefault="001A5973" w:rsidP="001A5973">
      <w:pPr>
        <w:ind w:left="360"/>
        <w:rPr>
          <w:b/>
          <w:bCs/>
          <w:u w:val="single"/>
        </w:rPr>
      </w:pPr>
      <w:r w:rsidRPr="00C25DC5">
        <w:rPr>
          <w:b/>
          <w:bCs/>
          <w:u w:val="single"/>
        </w:rPr>
        <w:t>Item 2: Crime investigation and solving</w:t>
      </w:r>
    </w:p>
    <w:p w14:paraId="28049D45" w14:textId="77777777" w:rsidR="00C25DC5" w:rsidRDefault="00C25DC5" w:rsidP="00C25DC5">
      <w:pPr>
        <w:pStyle w:val="ListParagraph"/>
        <w:numPr>
          <w:ilvl w:val="0"/>
          <w:numId w:val="3"/>
        </w:numPr>
      </w:pPr>
      <w:r w:rsidRPr="00880E8A">
        <w:rPr>
          <w:b/>
          <w:bCs/>
        </w:rPr>
        <w:t>Crime</w:t>
      </w:r>
      <w:r w:rsidRPr="00880E8A">
        <w:rPr>
          <w:rFonts w:ascii="Cambria Math" w:hAnsi="Cambria Math" w:cs="Cambria Math"/>
          <w:b/>
          <w:bCs/>
        </w:rPr>
        <w:t>‑</w:t>
      </w:r>
      <w:r w:rsidRPr="00880E8A">
        <w:rPr>
          <w:b/>
          <w:bCs/>
        </w:rPr>
        <w:t>solving performance has improved</w:t>
      </w:r>
      <w:r>
        <w:t xml:space="preserve">, with more offences resolved in 2025 and a rising overall solve rate, supported by stronger supervision of </w:t>
      </w:r>
      <w:r>
        <w:lastRenderedPageBreak/>
        <w:t>investigations, mandatory investigative plans, and improved victim needs assessments.</w:t>
      </w:r>
    </w:p>
    <w:p w14:paraId="10785B6D" w14:textId="420736B0" w:rsidR="001A5973" w:rsidRDefault="00C25DC5" w:rsidP="00C25DC5">
      <w:pPr>
        <w:pStyle w:val="ListParagraph"/>
        <w:numPr>
          <w:ilvl w:val="0"/>
          <w:numId w:val="3"/>
        </w:numPr>
      </w:pPr>
      <w:r>
        <w:t>Further work is underway to reduce cases with unidentified suspects and those closed due to lack of victim support, with the Chief Constable highlighting the need to increase prosecutions—particularly in domestic abuse cases—as an ongoing priority.</w:t>
      </w:r>
      <w:r w:rsidR="00D64690">
        <w:tab/>
      </w:r>
    </w:p>
    <w:p w14:paraId="3DD830F1" w14:textId="38E266CF" w:rsidR="00D64690" w:rsidRPr="005952B5" w:rsidRDefault="00D64690" w:rsidP="00D64690">
      <w:pPr>
        <w:rPr>
          <w:b/>
          <w:bCs/>
          <w:u w:val="single"/>
        </w:rPr>
      </w:pPr>
      <w:r w:rsidRPr="005952B5">
        <w:rPr>
          <w:b/>
          <w:bCs/>
          <w:u w:val="single"/>
        </w:rPr>
        <w:t>Item 3: Project vigi</w:t>
      </w:r>
      <w:r w:rsidR="005952B5" w:rsidRPr="005952B5">
        <w:rPr>
          <w:b/>
          <w:bCs/>
          <w:u w:val="single"/>
        </w:rPr>
        <w:t>lant</w:t>
      </w:r>
    </w:p>
    <w:p w14:paraId="7082F44F" w14:textId="77777777" w:rsidR="005952B5" w:rsidRDefault="005952B5" w:rsidP="005952B5">
      <w:pPr>
        <w:pStyle w:val="ListParagraph"/>
        <w:numPr>
          <w:ilvl w:val="0"/>
          <w:numId w:val="4"/>
        </w:numPr>
      </w:pPr>
      <w:r>
        <w:t>Project Vigilant was discussed as a proactive approach to preventing violence, particularly against women and girls, within the nighttime economy.</w:t>
      </w:r>
    </w:p>
    <w:p w14:paraId="6AE37355" w14:textId="77777777" w:rsidR="005952B5" w:rsidRDefault="005952B5" w:rsidP="005952B5">
      <w:pPr>
        <w:pStyle w:val="ListParagraph"/>
        <w:numPr>
          <w:ilvl w:val="0"/>
          <w:numId w:val="4"/>
        </w:numPr>
      </w:pPr>
      <w:r w:rsidRPr="005952B5">
        <w:rPr>
          <w:b/>
          <w:bCs/>
        </w:rPr>
        <w:t>Trained plain</w:t>
      </w:r>
      <w:r w:rsidRPr="005952B5">
        <w:rPr>
          <w:rFonts w:ascii="Cambria Math" w:hAnsi="Cambria Math" w:cs="Cambria Math"/>
          <w:b/>
          <w:bCs/>
        </w:rPr>
        <w:t>‑</w:t>
      </w:r>
      <w:r w:rsidRPr="005952B5">
        <w:rPr>
          <w:b/>
          <w:bCs/>
        </w:rPr>
        <w:t>clothes officers</w:t>
      </w:r>
      <w:r>
        <w:t xml:space="preserve"> are deployed across multiple town centres to identify and intervene early with individuals displaying concerning or predatory behaviour, with an emphasis on prevention rather than arrests.</w:t>
      </w:r>
    </w:p>
    <w:p w14:paraId="5587B97D" w14:textId="32CC6ECD" w:rsidR="004F0E33" w:rsidRDefault="005952B5" w:rsidP="005952B5">
      <w:pPr>
        <w:pStyle w:val="ListParagraph"/>
        <w:numPr>
          <w:ilvl w:val="0"/>
          <w:numId w:val="4"/>
        </w:numPr>
        <w:rPr>
          <w:b/>
          <w:bCs/>
        </w:rPr>
      </w:pPr>
      <w:r>
        <w:t xml:space="preserve">The Constabulary is embedding Project Vigilant into routine neighbourhood policing and </w:t>
      </w:r>
      <w:r w:rsidRPr="00DF7F41">
        <w:rPr>
          <w:b/>
          <w:bCs/>
        </w:rPr>
        <w:t>strengthening partnership working to ensure long</w:t>
      </w:r>
      <w:r w:rsidRPr="00DF7F41">
        <w:rPr>
          <w:rFonts w:ascii="Cambria Math" w:hAnsi="Cambria Math" w:cs="Cambria Math"/>
          <w:b/>
          <w:bCs/>
        </w:rPr>
        <w:t>‑</w:t>
      </w:r>
      <w:r w:rsidRPr="00DF7F41">
        <w:rPr>
          <w:b/>
          <w:bCs/>
        </w:rPr>
        <w:t>term sustainability.</w:t>
      </w:r>
    </w:p>
    <w:p w14:paraId="454B3D74" w14:textId="37C134FB" w:rsidR="00DF7F41" w:rsidRDefault="00DF7F41" w:rsidP="00DF7F41">
      <w:pPr>
        <w:ind w:left="360"/>
        <w:rPr>
          <w:b/>
          <w:bCs/>
          <w:u w:val="single"/>
        </w:rPr>
      </w:pPr>
      <w:r w:rsidRPr="00DF7F41">
        <w:rPr>
          <w:b/>
          <w:bCs/>
          <w:u w:val="single"/>
        </w:rPr>
        <w:t>Item 4: Public protection updates</w:t>
      </w:r>
    </w:p>
    <w:p w14:paraId="79A6586A" w14:textId="77777777" w:rsidR="00A9641B" w:rsidRPr="00A9641B" w:rsidRDefault="00A9641B" w:rsidP="00A9641B">
      <w:pPr>
        <w:pStyle w:val="ListParagraph"/>
        <w:numPr>
          <w:ilvl w:val="0"/>
          <w:numId w:val="5"/>
        </w:numPr>
      </w:pPr>
      <w:r w:rsidRPr="00A9641B">
        <w:t xml:space="preserve">Use of </w:t>
      </w:r>
      <w:r w:rsidRPr="0065447C">
        <w:rPr>
          <w:b/>
          <w:bCs/>
        </w:rPr>
        <w:t>Clare’s Law disclosures has increased significantly</w:t>
      </w:r>
      <w:r w:rsidRPr="00A9641B">
        <w:t>, with major reductions in delays beyond the 28</w:t>
      </w:r>
      <w:r w:rsidRPr="00A9641B">
        <w:rPr>
          <w:rFonts w:ascii="Cambria Math" w:hAnsi="Cambria Math" w:cs="Cambria Math"/>
        </w:rPr>
        <w:t>‑</w:t>
      </w:r>
      <w:r w:rsidRPr="00A9641B">
        <w:t>day target, improving timely safeguarding for victims.</w:t>
      </w:r>
    </w:p>
    <w:p w14:paraId="2FB86BA3" w14:textId="7D9AC7E6" w:rsidR="00DF7F41" w:rsidRPr="00A9641B" w:rsidRDefault="00A9641B" w:rsidP="00A9641B">
      <w:pPr>
        <w:pStyle w:val="ListParagraph"/>
        <w:numPr>
          <w:ilvl w:val="0"/>
          <w:numId w:val="5"/>
        </w:numPr>
      </w:pPr>
      <w:r w:rsidRPr="00A9641B">
        <w:t xml:space="preserve">The Constabulary </w:t>
      </w:r>
      <w:r w:rsidRPr="0065447C">
        <w:rPr>
          <w:b/>
          <w:bCs/>
        </w:rPr>
        <w:t>has increased use of Domestic Violence Protection Orders</w:t>
      </w:r>
      <w:r w:rsidRPr="00A9641B">
        <w:t>, achieving a strong court success rate, with higher enforcement activity seen as effective monitoring and action to protect victims and hold offenders accountable.</w:t>
      </w:r>
    </w:p>
    <w:sectPr w:rsidR="00DF7F41" w:rsidRPr="00A96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B39B6"/>
    <w:multiLevelType w:val="hybridMultilevel"/>
    <w:tmpl w:val="58FC55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AF5C69"/>
    <w:multiLevelType w:val="hybridMultilevel"/>
    <w:tmpl w:val="CE704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27E2C"/>
    <w:multiLevelType w:val="hybridMultilevel"/>
    <w:tmpl w:val="4480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B29DD"/>
    <w:multiLevelType w:val="hybridMultilevel"/>
    <w:tmpl w:val="96CA5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6163F8"/>
    <w:multiLevelType w:val="hybridMultilevel"/>
    <w:tmpl w:val="BF5017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9512543">
    <w:abstractNumId w:val="2"/>
  </w:num>
  <w:num w:numId="2" w16cid:durableId="839391338">
    <w:abstractNumId w:val="1"/>
  </w:num>
  <w:num w:numId="3" w16cid:durableId="933586148">
    <w:abstractNumId w:val="0"/>
  </w:num>
  <w:num w:numId="4" w16cid:durableId="449472841">
    <w:abstractNumId w:val="3"/>
  </w:num>
  <w:num w:numId="5" w16cid:durableId="1270238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3"/>
    <w:rsid w:val="00045F33"/>
    <w:rsid w:val="000F51D1"/>
    <w:rsid w:val="000F59E6"/>
    <w:rsid w:val="001A5973"/>
    <w:rsid w:val="001C6633"/>
    <w:rsid w:val="00253458"/>
    <w:rsid w:val="00282A92"/>
    <w:rsid w:val="004F0E33"/>
    <w:rsid w:val="005952B5"/>
    <w:rsid w:val="0065447C"/>
    <w:rsid w:val="00752B86"/>
    <w:rsid w:val="007634C8"/>
    <w:rsid w:val="00880E8A"/>
    <w:rsid w:val="00A9641B"/>
    <w:rsid w:val="00B675B8"/>
    <w:rsid w:val="00BC1E19"/>
    <w:rsid w:val="00C25DC5"/>
    <w:rsid w:val="00D64690"/>
    <w:rsid w:val="00DF7F41"/>
    <w:rsid w:val="00E1081A"/>
    <w:rsid w:val="00E1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A2BD"/>
  <w15:chartTrackingRefBased/>
  <w15:docId w15:val="{07AE438B-2DBF-471F-BF80-6FF4CBE6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633"/>
    <w:rPr>
      <w:rFonts w:eastAsiaTheme="majorEastAsia" w:cstheme="majorBidi"/>
      <w:color w:val="272727" w:themeColor="text1" w:themeTint="D8"/>
    </w:rPr>
  </w:style>
  <w:style w:type="paragraph" w:styleId="Title">
    <w:name w:val="Title"/>
    <w:basedOn w:val="Normal"/>
    <w:next w:val="Normal"/>
    <w:link w:val="TitleChar"/>
    <w:uiPriority w:val="10"/>
    <w:qFormat/>
    <w:rsid w:val="001C6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633"/>
    <w:pPr>
      <w:spacing w:before="160"/>
      <w:jc w:val="center"/>
    </w:pPr>
    <w:rPr>
      <w:i/>
      <w:iCs/>
      <w:color w:val="404040" w:themeColor="text1" w:themeTint="BF"/>
    </w:rPr>
  </w:style>
  <w:style w:type="character" w:customStyle="1" w:styleId="QuoteChar">
    <w:name w:val="Quote Char"/>
    <w:basedOn w:val="DefaultParagraphFont"/>
    <w:link w:val="Quote"/>
    <w:uiPriority w:val="29"/>
    <w:rsid w:val="001C6633"/>
    <w:rPr>
      <w:i/>
      <w:iCs/>
      <w:color w:val="404040" w:themeColor="text1" w:themeTint="BF"/>
    </w:rPr>
  </w:style>
  <w:style w:type="paragraph" w:styleId="ListParagraph">
    <w:name w:val="List Paragraph"/>
    <w:basedOn w:val="Normal"/>
    <w:uiPriority w:val="34"/>
    <w:qFormat/>
    <w:rsid w:val="001C6633"/>
    <w:pPr>
      <w:ind w:left="720"/>
      <w:contextualSpacing/>
    </w:pPr>
  </w:style>
  <w:style w:type="character" w:styleId="IntenseEmphasis">
    <w:name w:val="Intense Emphasis"/>
    <w:basedOn w:val="DefaultParagraphFont"/>
    <w:uiPriority w:val="21"/>
    <w:qFormat/>
    <w:rsid w:val="001C6633"/>
    <w:rPr>
      <w:i/>
      <w:iCs/>
      <w:color w:val="0F4761" w:themeColor="accent1" w:themeShade="BF"/>
    </w:rPr>
  </w:style>
  <w:style w:type="paragraph" w:styleId="IntenseQuote">
    <w:name w:val="Intense Quote"/>
    <w:basedOn w:val="Normal"/>
    <w:next w:val="Normal"/>
    <w:link w:val="IntenseQuoteChar"/>
    <w:uiPriority w:val="30"/>
    <w:qFormat/>
    <w:rsid w:val="001C6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633"/>
    <w:rPr>
      <w:i/>
      <w:iCs/>
      <w:color w:val="0F4761" w:themeColor="accent1" w:themeShade="BF"/>
    </w:rPr>
  </w:style>
  <w:style w:type="character" w:styleId="IntenseReference">
    <w:name w:val="Intense Reference"/>
    <w:basedOn w:val="DefaultParagraphFont"/>
    <w:uiPriority w:val="32"/>
    <w:qFormat/>
    <w:rsid w:val="001C6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443</Words>
  <Characters>2478</Characters>
  <Application>Microsoft Office Word</Application>
  <DocSecurity>0</DocSecurity>
  <Lines>60</Lines>
  <Paragraphs>20</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MAKONI, Eleanor 8191</dc:creator>
  <cp:keywords/>
  <dc:description/>
  <cp:lastModifiedBy>MAKONI, Eleanor 8191</cp:lastModifiedBy>
  <cp:revision>17</cp:revision>
  <dcterms:created xsi:type="dcterms:W3CDTF">2026-04-15T11:00:00Z</dcterms:created>
  <dcterms:modified xsi:type="dcterms:W3CDTF">2026-04-15T11:28:00Z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2026-04-15T11:06:11Z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ed2d9850-692e-48a1-a9de-5dabc2c0e228</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