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A6E90" w14:textId="77777777" w:rsidR="00D04C83" w:rsidRPr="00D04C83" w:rsidRDefault="00D04C83" w:rsidP="00D04C83">
      <w:r w:rsidRPr="00D04C83">
        <w:drawing>
          <wp:inline distT="0" distB="0" distL="0" distR="0" wp14:anchorId="7706C512" wp14:editId="59C32CAA">
            <wp:extent cx="3105150" cy="1047750"/>
            <wp:effectExtent l="0" t="0" r="0" b="0"/>
            <wp:docPr id="4" name="Picture 1" descr="A black background with green and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A black background with green and blue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055C4" w14:textId="77777777" w:rsidR="00D04C83" w:rsidRPr="00D04C83" w:rsidRDefault="00D04C83" w:rsidP="00D04C83">
      <w:pPr>
        <w:rPr>
          <w:b/>
        </w:rPr>
      </w:pPr>
      <w:r w:rsidRPr="00D04C83">
        <w:rPr>
          <w:b/>
        </w:rPr>
        <w:t>Police and Crime Commissioner and Chief Constable</w:t>
      </w:r>
    </w:p>
    <w:p w14:paraId="104716AC" w14:textId="77777777" w:rsidR="00D04C83" w:rsidRPr="00D04C83" w:rsidRDefault="00D04C83" w:rsidP="00D04C83">
      <w:pPr>
        <w:rPr>
          <w:b/>
        </w:rPr>
      </w:pPr>
      <w:r w:rsidRPr="00D04C83">
        <w:rPr>
          <w:b/>
        </w:rPr>
        <w:t>Accountability and Performance Meeting</w:t>
      </w:r>
    </w:p>
    <w:p w14:paraId="123D8F7E" w14:textId="49867C5D" w:rsidR="00D04C83" w:rsidRPr="00D04C83" w:rsidRDefault="00D04C83" w:rsidP="00D04C83">
      <w:pPr>
        <w:rPr>
          <w:b/>
        </w:rPr>
      </w:pPr>
      <w:r w:rsidRPr="00D04C83">
        <w:t>1</w:t>
      </w:r>
      <w:r>
        <w:t>3th</w:t>
      </w:r>
      <w:r w:rsidRPr="00D04C83">
        <w:t xml:space="preserve"> </w:t>
      </w:r>
      <w:r>
        <w:t>November</w:t>
      </w:r>
      <w:r w:rsidRPr="00D04C83">
        <w:t xml:space="preserve"> 202</w:t>
      </w:r>
      <w:r>
        <w:t>5</w:t>
      </w:r>
      <w:r w:rsidRPr="00D04C83">
        <w:t>, 10:30-11.30</w:t>
      </w:r>
      <w:r w:rsidRPr="00D04C83">
        <w:rPr>
          <w:b/>
        </w:rPr>
        <w:t xml:space="preserve">: </w:t>
      </w:r>
      <w:r w:rsidRPr="00D04C83">
        <w:t>Gold Command, Police HQ</w:t>
      </w:r>
    </w:p>
    <w:p w14:paraId="5EB6816E" w14:textId="77777777" w:rsidR="00D04C83" w:rsidRPr="00D04C83" w:rsidRDefault="00D04C83" w:rsidP="00D04C83">
      <w:pPr>
        <w:rPr>
          <w:b/>
          <w:bCs/>
        </w:rPr>
      </w:pPr>
      <w:r w:rsidRPr="00D04C83">
        <w:rPr>
          <w:b/>
          <w:bCs/>
        </w:rPr>
        <w:t>Meeting note</w:t>
      </w:r>
    </w:p>
    <w:p w14:paraId="1A903CB1" w14:textId="324EBFB1" w:rsidR="00D04C83" w:rsidRPr="00D04C83" w:rsidRDefault="00D04C83" w:rsidP="00D04C83">
      <w:r w:rsidRPr="00D04C83">
        <w:t>On 1</w:t>
      </w:r>
      <w:r>
        <w:t>3</w:t>
      </w:r>
      <w:r w:rsidRPr="00D04C83">
        <w:t xml:space="preserve"> </w:t>
      </w:r>
      <w:r>
        <w:t>November</w:t>
      </w:r>
      <w:r w:rsidRPr="00D04C83">
        <w:t xml:space="preserve"> 202</w:t>
      </w:r>
      <w:r>
        <w:t>5</w:t>
      </w:r>
      <w:r w:rsidRPr="00D04C83">
        <w:t>, the Police and Crime Commissioner for Hertfordshire, Jonathan Ash-Edwards, chaired the monthly Accountability and Performance Meeting, joined by Chief Constable Andy Prophet</w:t>
      </w:r>
      <w:r>
        <w:t>.</w:t>
      </w:r>
      <w:r w:rsidRPr="00D04C83">
        <w:t xml:space="preserve"> These meetings support the Commissioner’s statutory duty to hold the Chief Constable to account for the performance of Hertfordshire Constabulary.</w:t>
      </w:r>
    </w:p>
    <w:p w14:paraId="2A752313" w14:textId="77777777" w:rsidR="00D04C83" w:rsidRPr="00D04C83" w:rsidRDefault="00D04C83" w:rsidP="00D04C83">
      <w:pPr>
        <w:rPr>
          <w:b/>
          <w:bCs/>
        </w:rPr>
      </w:pPr>
      <w:r w:rsidRPr="00D04C83">
        <w:rPr>
          <w:b/>
          <w:bCs/>
        </w:rPr>
        <w:t>Agenda:</w:t>
      </w:r>
    </w:p>
    <w:p w14:paraId="6ACF6265" w14:textId="75CCF401" w:rsidR="00D04C83" w:rsidRPr="00D04C83" w:rsidRDefault="00D04C83" w:rsidP="00D04C83">
      <w:pPr>
        <w:rPr>
          <w:b/>
          <w:bCs/>
        </w:rPr>
      </w:pPr>
      <w:r w:rsidRPr="00D04C83">
        <w:rPr>
          <w:b/>
          <w:bCs/>
        </w:rPr>
        <w:t xml:space="preserve">Item 1: </w:t>
      </w:r>
      <w:r>
        <w:rPr>
          <w:b/>
          <w:bCs/>
        </w:rPr>
        <w:t>Police Custody</w:t>
      </w:r>
    </w:p>
    <w:p w14:paraId="30FEBC5F" w14:textId="4CA209AA" w:rsidR="00D04C83" w:rsidRPr="00D04C83" w:rsidRDefault="00D04C83" w:rsidP="00D04C83">
      <w:pPr>
        <w:rPr>
          <w:b/>
          <w:bCs/>
        </w:rPr>
      </w:pPr>
      <w:r w:rsidRPr="00D04C83">
        <w:rPr>
          <w:b/>
          <w:bCs/>
        </w:rPr>
        <w:t xml:space="preserve">Item 2: </w:t>
      </w:r>
      <w:r w:rsidR="002278C8">
        <w:rPr>
          <w:b/>
          <w:bCs/>
        </w:rPr>
        <w:t>Burglary and winter plans</w:t>
      </w:r>
      <w:r w:rsidRPr="00D04C83">
        <w:rPr>
          <w:b/>
          <w:bCs/>
        </w:rPr>
        <w:t xml:space="preserve"> </w:t>
      </w:r>
    </w:p>
    <w:p w14:paraId="1E2AFCFB" w14:textId="26748793" w:rsidR="00216B00" w:rsidRDefault="00D04C83" w:rsidP="00D04C83">
      <w:pPr>
        <w:rPr>
          <w:b/>
          <w:bCs/>
        </w:rPr>
      </w:pPr>
      <w:r w:rsidRPr="00D04C83">
        <w:rPr>
          <w:b/>
          <w:bCs/>
        </w:rPr>
        <w:t xml:space="preserve">Item 3: </w:t>
      </w:r>
      <w:r w:rsidR="00216B00">
        <w:rPr>
          <w:b/>
          <w:bCs/>
        </w:rPr>
        <w:t>Road policy and road safety</w:t>
      </w:r>
    </w:p>
    <w:p w14:paraId="378D4FC5" w14:textId="6F31077B" w:rsidR="00D04C83" w:rsidRPr="00D04C83" w:rsidRDefault="00216B00" w:rsidP="00D04C83">
      <w:pPr>
        <w:rPr>
          <w:b/>
          <w:bCs/>
        </w:rPr>
      </w:pPr>
      <w:r>
        <w:rPr>
          <w:b/>
          <w:bCs/>
        </w:rPr>
        <w:t xml:space="preserve">Item 4: </w:t>
      </w:r>
      <w:r w:rsidR="00AF4570">
        <w:rPr>
          <w:b/>
          <w:bCs/>
        </w:rPr>
        <w:t xml:space="preserve">Hate crime and </w:t>
      </w:r>
      <w:r w:rsidR="00411F16">
        <w:rPr>
          <w:b/>
          <w:bCs/>
        </w:rPr>
        <w:t>non-hate</w:t>
      </w:r>
      <w:r w:rsidR="00AF4570">
        <w:rPr>
          <w:b/>
          <w:bCs/>
        </w:rPr>
        <w:t xml:space="preserve"> crime incidents</w:t>
      </w:r>
    </w:p>
    <w:p w14:paraId="433A0871" w14:textId="4E59E53E" w:rsidR="00D04C83" w:rsidRPr="00D04C83" w:rsidRDefault="00D04C83" w:rsidP="00D04C83">
      <w:pPr>
        <w:rPr>
          <w:b/>
          <w:bCs/>
        </w:rPr>
      </w:pPr>
      <w:r w:rsidRPr="00D04C83">
        <w:rPr>
          <w:b/>
          <w:bCs/>
        </w:rPr>
        <w:t xml:space="preserve">Item </w:t>
      </w:r>
      <w:r w:rsidR="00EB6D81">
        <w:rPr>
          <w:b/>
          <w:bCs/>
        </w:rPr>
        <w:t>5: Missing persons</w:t>
      </w:r>
    </w:p>
    <w:p w14:paraId="3C2DDCDA" w14:textId="08E50300" w:rsidR="00D04C83" w:rsidRPr="00D04C83" w:rsidRDefault="00D04C83" w:rsidP="00D04C83">
      <w:pPr>
        <w:rPr>
          <w:b/>
          <w:bCs/>
          <w:u w:val="single"/>
        </w:rPr>
      </w:pPr>
      <w:r w:rsidRPr="00D04C83">
        <w:rPr>
          <w:b/>
          <w:bCs/>
          <w:u w:val="single"/>
        </w:rPr>
        <w:t>Item 1: Police Custody</w:t>
      </w:r>
    </w:p>
    <w:p w14:paraId="6D4D2B6B" w14:textId="467FED18" w:rsidR="00D04C83" w:rsidRDefault="00D04C83" w:rsidP="00D04C83">
      <w:pPr>
        <w:pStyle w:val="ListParagraph"/>
        <w:numPr>
          <w:ilvl w:val="0"/>
          <w:numId w:val="1"/>
        </w:numPr>
      </w:pPr>
      <w:r>
        <w:t>Th</w:t>
      </w:r>
      <w:r w:rsidRPr="00D04C83">
        <w:t>e</w:t>
      </w:r>
      <w:r>
        <w:t xml:space="preserve"> Chief Constable</w:t>
      </w:r>
      <w:r w:rsidRPr="00D04C83">
        <w:t xml:space="preserve"> highlighted strong visible leadership within custody, including senior officer presence, proactive handling of complaints, and independent scrutiny through unannounced visits.</w:t>
      </w:r>
    </w:p>
    <w:p w14:paraId="44AF35BC" w14:textId="04773C33" w:rsidR="00D04C83" w:rsidRDefault="00D04C83" w:rsidP="00D04C83">
      <w:pPr>
        <w:pStyle w:val="ListParagraph"/>
        <w:numPr>
          <w:ilvl w:val="0"/>
          <w:numId w:val="1"/>
        </w:numPr>
      </w:pPr>
      <w:r>
        <w:t>New observation cell doors introduced in May 2025 were reported to have improved detainee safety and operational efficiency, particularly for vulnerable individuals and juveniles.</w:t>
      </w:r>
    </w:p>
    <w:p w14:paraId="10AD541A" w14:textId="77777777" w:rsidR="00D04C83" w:rsidRDefault="00D04C83" w:rsidP="00D04C83">
      <w:pPr>
        <w:pStyle w:val="ListParagraph"/>
        <w:numPr>
          <w:ilvl w:val="0"/>
          <w:numId w:val="1"/>
        </w:numPr>
      </w:pPr>
      <w:r>
        <w:t>Custody safety arrangements were detailed, including robust risk assessments on arrival, access to medical support, and ongoing staff training.</w:t>
      </w:r>
    </w:p>
    <w:p w14:paraId="64802503" w14:textId="77777777" w:rsidR="00D04C83" w:rsidRDefault="00D04C83" w:rsidP="00D04C83">
      <w:pPr>
        <w:pStyle w:val="ListParagraph"/>
        <w:numPr>
          <w:ilvl w:val="0"/>
          <w:numId w:val="1"/>
        </w:numPr>
      </w:pPr>
      <w:r>
        <w:t xml:space="preserve">Over the past 12 months, </w:t>
      </w:r>
      <w:r w:rsidRPr="00D04C83">
        <w:rPr>
          <w:b/>
          <w:bCs/>
        </w:rPr>
        <w:t>87 assaults on custody officers and staff were recorded</w:t>
      </w:r>
      <w:r>
        <w:t>, with clear welfare and support processes in place for those affected.</w:t>
      </w:r>
    </w:p>
    <w:p w14:paraId="2318CD71" w14:textId="77777777" w:rsidR="00D04C83" w:rsidRDefault="00D04C83" w:rsidP="00D04C83">
      <w:pPr>
        <w:pStyle w:val="ListParagraph"/>
        <w:numPr>
          <w:ilvl w:val="0"/>
          <w:numId w:val="1"/>
        </w:numPr>
      </w:pPr>
      <w:r>
        <w:t>The Constabulary’s approach to children in custody was discussed, emphasising efforts to minimise detention, closely monitor overnight stays, and ensure safeguarding.</w:t>
      </w:r>
    </w:p>
    <w:p w14:paraId="3BE97D07" w14:textId="098E2A5E" w:rsidR="004F0E33" w:rsidRDefault="00D04C83" w:rsidP="00D04C83">
      <w:pPr>
        <w:pStyle w:val="ListParagraph"/>
        <w:numPr>
          <w:ilvl w:val="0"/>
          <w:numId w:val="1"/>
        </w:numPr>
      </w:pPr>
      <w:r>
        <w:lastRenderedPageBreak/>
        <w:t>Safeguarding measures for children include individual care plans, access to appropriate adults, and close partnership working with the County Council.</w:t>
      </w:r>
    </w:p>
    <w:p w14:paraId="2C4E2B19" w14:textId="5E7D2AA5" w:rsidR="002278C8" w:rsidRDefault="002278C8" w:rsidP="002278C8">
      <w:pPr>
        <w:rPr>
          <w:b/>
          <w:bCs/>
          <w:u w:val="single"/>
        </w:rPr>
      </w:pPr>
      <w:r w:rsidRPr="002278C8">
        <w:rPr>
          <w:b/>
          <w:bCs/>
          <w:u w:val="single"/>
        </w:rPr>
        <w:t>Item 2: Burglary and winter plans</w:t>
      </w:r>
    </w:p>
    <w:p w14:paraId="465F11D7" w14:textId="77777777" w:rsidR="0069523D" w:rsidRDefault="0069523D" w:rsidP="00A01CC2">
      <w:pPr>
        <w:pStyle w:val="ListParagraph"/>
        <w:numPr>
          <w:ilvl w:val="0"/>
          <w:numId w:val="2"/>
        </w:numPr>
      </w:pPr>
      <w:r>
        <w:t xml:space="preserve">The Chief Constable outlined a </w:t>
      </w:r>
      <w:r w:rsidRPr="002651E9">
        <w:rPr>
          <w:b/>
          <w:bCs/>
        </w:rPr>
        <w:t>comprehensive winter burglary strategy</w:t>
      </w:r>
      <w:r>
        <w:t>, launched in November, focused on hotspot policing, partnership working, and a mix of overt and covert tactics.</w:t>
      </w:r>
    </w:p>
    <w:p w14:paraId="483C3581" w14:textId="77777777" w:rsidR="0069523D" w:rsidRDefault="0069523D" w:rsidP="00A01CC2">
      <w:pPr>
        <w:pStyle w:val="ListParagraph"/>
        <w:numPr>
          <w:ilvl w:val="0"/>
          <w:numId w:val="2"/>
        </w:numPr>
      </w:pPr>
      <w:r>
        <w:t xml:space="preserve">The approach includes the use of technology such as </w:t>
      </w:r>
      <w:r w:rsidRPr="00EB1570">
        <w:rPr>
          <w:b/>
          <w:bCs/>
        </w:rPr>
        <w:t>ANPR</w:t>
      </w:r>
      <w:r>
        <w:t xml:space="preserve"> and targeted activity against known offenders and organised crime groups.</w:t>
      </w:r>
    </w:p>
    <w:p w14:paraId="48DD6BE1" w14:textId="77777777" w:rsidR="0069523D" w:rsidRDefault="0069523D" w:rsidP="00A01CC2">
      <w:pPr>
        <w:pStyle w:val="ListParagraph"/>
        <w:numPr>
          <w:ilvl w:val="0"/>
          <w:numId w:val="2"/>
        </w:numPr>
      </w:pPr>
      <w:r>
        <w:t>While attendance rates at residential burglaries remain high, increases in burglary levels and low positive outcome rates were acknowledged as key concerns.</w:t>
      </w:r>
    </w:p>
    <w:p w14:paraId="7D43C4C9" w14:textId="718084A8" w:rsidR="002278C8" w:rsidRDefault="0069523D" w:rsidP="00A01CC2">
      <w:pPr>
        <w:pStyle w:val="ListParagraph"/>
        <w:numPr>
          <w:ilvl w:val="0"/>
          <w:numId w:val="2"/>
        </w:numPr>
      </w:pPr>
      <w:r>
        <w:t xml:space="preserve">A clear organisational focus was confirmed on improving investigative outcomes through enhanced forensic recovery and </w:t>
      </w:r>
      <w:r w:rsidRPr="00032E8B">
        <w:rPr>
          <w:b/>
          <w:bCs/>
        </w:rPr>
        <w:t>strengthened cross</w:t>
      </w:r>
      <w:r w:rsidRPr="00032E8B">
        <w:rPr>
          <w:rFonts w:ascii="Cambria Math" w:hAnsi="Cambria Math" w:cs="Cambria Math"/>
          <w:b/>
          <w:bCs/>
        </w:rPr>
        <w:t>‑</w:t>
      </w:r>
      <w:r w:rsidRPr="00032E8B">
        <w:rPr>
          <w:b/>
          <w:bCs/>
        </w:rPr>
        <w:t>border working</w:t>
      </w:r>
      <w:r>
        <w:t xml:space="preserve"> to disrupt organised burglary.</w:t>
      </w:r>
    </w:p>
    <w:p w14:paraId="3079892F" w14:textId="0289176D" w:rsidR="008779C4" w:rsidRDefault="00AF4570" w:rsidP="00AF4570">
      <w:pPr>
        <w:rPr>
          <w:b/>
          <w:bCs/>
          <w:u w:val="single"/>
        </w:rPr>
      </w:pPr>
      <w:r w:rsidRPr="00AF4570">
        <w:rPr>
          <w:b/>
          <w:bCs/>
          <w:u w:val="single"/>
        </w:rPr>
        <w:t xml:space="preserve">Item </w:t>
      </w:r>
      <w:r w:rsidR="00244637" w:rsidRPr="00AF4570">
        <w:rPr>
          <w:b/>
          <w:bCs/>
          <w:u w:val="single"/>
        </w:rPr>
        <w:t>3:</w:t>
      </w:r>
      <w:r w:rsidR="00244637">
        <w:rPr>
          <w:b/>
          <w:bCs/>
          <w:u w:val="single"/>
        </w:rPr>
        <w:t xml:space="preserve"> Roads Policing and Road Safety </w:t>
      </w:r>
    </w:p>
    <w:p w14:paraId="40F0A0DF" w14:textId="77777777" w:rsidR="00B050F2" w:rsidRDefault="00B050F2" w:rsidP="00B050F2">
      <w:pPr>
        <w:pStyle w:val="ListParagraph"/>
        <w:numPr>
          <w:ilvl w:val="0"/>
          <w:numId w:val="4"/>
        </w:numPr>
      </w:pPr>
      <w:r>
        <w:t xml:space="preserve">The meeting discussed the </w:t>
      </w:r>
      <w:r w:rsidRPr="00413867">
        <w:rPr>
          <w:b/>
          <w:bCs/>
        </w:rPr>
        <w:t>tri</w:t>
      </w:r>
      <w:r w:rsidRPr="00413867">
        <w:rPr>
          <w:rFonts w:ascii="Cambria Math" w:hAnsi="Cambria Math" w:cs="Cambria Math"/>
          <w:b/>
          <w:bCs/>
        </w:rPr>
        <w:t>‑</w:t>
      </w:r>
      <w:r w:rsidRPr="00413867">
        <w:rPr>
          <w:b/>
          <w:bCs/>
        </w:rPr>
        <w:t>force roads policing collaboration</w:t>
      </w:r>
      <w:r>
        <w:t xml:space="preserve"> with Bedfordshire and Cambridgeshire, focusing on shared resources and deployment arrangements.</w:t>
      </w:r>
    </w:p>
    <w:p w14:paraId="5E8EB4EE" w14:textId="77777777" w:rsidR="00B050F2" w:rsidRDefault="00B050F2" w:rsidP="00B050F2">
      <w:pPr>
        <w:pStyle w:val="ListParagraph"/>
        <w:numPr>
          <w:ilvl w:val="0"/>
          <w:numId w:val="4"/>
        </w:numPr>
      </w:pPr>
      <w:r>
        <w:t>Road safety performance was reviewed, with concern raised about an increase in road deaths and serious injuries in 2025.</w:t>
      </w:r>
    </w:p>
    <w:p w14:paraId="23C0066C" w14:textId="77777777" w:rsidR="00B050F2" w:rsidRDefault="00B050F2" w:rsidP="00B050F2">
      <w:pPr>
        <w:pStyle w:val="ListParagraph"/>
        <w:numPr>
          <w:ilvl w:val="0"/>
          <w:numId w:val="4"/>
        </w:numPr>
      </w:pPr>
      <w:r>
        <w:t xml:space="preserve">The work of the </w:t>
      </w:r>
      <w:r w:rsidRPr="00CC2626">
        <w:rPr>
          <w:b/>
          <w:bCs/>
        </w:rPr>
        <w:t>Roads Policing Unit</w:t>
      </w:r>
      <w:r>
        <w:t xml:space="preserve"> was outlined, covering enforcement and preventative activity such as arrests, stop searches and traffic enforcement.</w:t>
      </w:r>
    </w:p>
    <w:p w14:paraId="13081261" w14:textId="66DF4309" w:rsidR="00B050F2" w:rsidRDefault="00B050F2" w:rsidP="00413867">
      <w:pPr>
        <w:pStyle w:val="ListParagraph"/>
        <w:numPr>
          <w:ilvl w:val="0"/>
          <w:numId w:val="4"/>
        </w:numPr>
      </w:pPr>
      <w:r>
        <w:t>Education and partnership initiatives were highlighted, targeting high</w:t>
      </w:r>
      <w:r>
        <w:rPr>
          <w:rFonts w:ascii="Cambria Math" w:hAnsi="Cambria Math" w:cs="Cambria Math"/>
        </w:rPr>
        <w:t>‑</w:t>
      </w:r>
      <w:r>
        <w:t>risk behaviours including speeding, careless driving, and drink or drug driving.</w:t>
      </w:r>
      <w:r w:rsidR="00413867">
        <w:t xml:space="preserve"> </w:t>
      </w:r>
      <w:r>
        <w:t>Focus</w:t>
      </w:r>
      <w:r>
        <w:t xml:space="preserve"> was placed on young and inexperienced drivers and motorcyclists.</w:t>
      </w:r>
    </w:p>
    <w:p w14:paraId="6C8302AE" w14:textId="1A8F44CB" w:rsidR="008779C4" w:rsidRPr="00331A63" w:rsidRDefault="00B050F2" w:rsidP="00AF4570">
      <w:pPr>
        <w:pStyle w:val="ListParagraph"/>
        <w:numPr>
          <w:ilvl w:val="0"/>
          <w:numId w:val="4"/>
        </w:numPr>
      </w:pPr>
      <w:r>
        <w:t xml:space="preserve">The approach to enforcing </w:t>
      </w:r>
      <w:r w:rsidRPr="00D03B85">
        <w:rPr>
          <w:b/>
          <w:bCs/>
        </w:rPr>
        <w:t>20mph zones</w:t>
      </w:r>
      <w:r>
        <w:t xml:space="preserve"> was explained, with neighbourhood policing and Community Speed Watch supporting specialist enforcement on higher</w:t>
      </w:r>
      <w:r>
        <w:rPr>
          <w:rFonts w:ascii="Cambria Math" w:hAnsi="Cambria Math" w:cs="Cambria Math"/>
        </w:rPr>
        <w:t>‑</w:t>
      </w:r>
      <w:r>
        <w:t>risk roads.</w:t>
      </w:r>
    </w:p>
    <w:p w14:paraId="69A730AA" w14:textId="192D6776" w:rsidR="00AF4570" w:rsidRPr="00AF4570" w:rsidRDefault="00244637" w:rsidP="00AF4570">
      <w:pPr>
        <w:rPr>
          <w:b/>
          <w:bCs/>
          <w:u w:val="single"/>
        </w:rPr>
      </w:pPr>
      <w:r>
        <w:rPr>
          <w:b/>
          <w:bCs/>
          <w:u w:val="single"/>
        </w:rPr>
        <w:t>Item 4:</w:t>
      </w:r>
      <w:r w:rsidR="00AF4570">
        <w:rPr>
          <w:b/>
          <w:bCs/>
          <w:u w:val="single"/>
        </w:rPr>
        <w:t xml:space="preserve"> </w:t>
      </w:r>
      <w:r w:rsidR="00AF4570" w:rsidRPr="00AF4570">
        <w:rPr>
          <w:b/>
          <w:bCs/>
          <w:u w:val="single"/>
        </w:rPr>
        <w:t xml:space="preserve">Hate crime and </w:t>
      </w:r>
      <w:r w:rsidR="00716F29" w:rsidRPr="00AF4570">
        <w:rPr>
          <w:b/>
          <w:bCs/>
          <w:u w:val="single"/>
        </w:rPr>
        <w:t>non-hate</w:t>
      </w:r>
      <w:r w:rsidR="00AF4570" w:rsidRPr="00AF4570">
        <w:rPr>
          <w:b/>
          <w:bCs/>
          <w:u w:val="single"/>
        </w:rPr>
        <w:t xml:space="preserve"> crime incidents</w:t>
      </w:r>
    </w:p>
    <w:p w14:paraId="50E97B4C" w14:textId="536CC11F" w:rsidR="00676253" w:rsidRDefault="00676253" w:rsidP="00676253">
      <w:pPr>
        <w:pStyle w:val="ListParagraph"/>
        <w:numPr>
          <w:ilvl w:val="0"/>
          <w:numId w:val="3"/>
        </w:numPr>
      </w:pPr>
      <w:r>
        <w:t xml:space="preserve">Hate crime reporting in Hertfordshire </w:t>
      </w:r>
      <w:r w:rsidRPr="00CC2626">
        <w:rPr>
          <w:b/>
          <w:bCs/>
        </w:rPr>
        <w:t>increased by nearly 14%</w:t>
      </w:r>
      <w:r>
        <w:t xml:space="preserve"> over the past year, with </w:t>
      </w:r>
      <w:r>
        <w:t>most of</w:t>
      </w:r>
      <w:r>
        <w:t xml:space="preserve"> the rise relating to racially motivated offences.</w:t>
      </w:r>
    </w:p>
    <w:p w14:paraId="282BFF08" w14:textId="77777777" w:rsidR="00676253" w:rsidRDefault="00676253" w:rsidP="00716F29">
      <w:pPr>
        <w:pStyle w:val="ListParagraph"/>
        <w:numPr>
          <w:ilvl w:val="0"/>
          <w:numId w:val="3"/>
        </w:numPr>
      </w:pPr>
      <w:r>
        <w:t>The increase was attributed in part to improved awareness and reporting, supported by third</w:t>
      </w:r>
      <w:r w:rsidRPr="00716F29">
        <w:rPr>
          <w:rFonts w:ascii="Cambria Math" w:hAnsi="Cambria Math" w:cs="Cambria Math"/>
        </w:rPr>
        <w:t>‑</w:t>
      </w:r>
      <w:r>
        <w:t>party reporting centres and awareness campaigns.</w:t>
      </w:r>
    </w:p>
    <w:p w14:paraId="3AE3A961" w14:textId="77777777" w:rsidR="00676253" w:rsidRDefault="00676253" w:rsidP="00716F29">
      <w:pPr>
        <w:pStyle w:val="ListParagraph"/>
        <w:numPr>
          <w:ilvl w:val="0"/>
          <w:numId w:val="3"/>
        </w:numPr>
      </w:pPr>
      <w:r>
        <w:t>Positive outcome rates for hate crime were acknowledged as too low, with a commitment to improving accountability where suspects are identified.</w:t>
      </w:r>
    </w:p>
    <w:p w14:paraId="294F2B34" w14:textId="4E615306" w:rsidR="00331A63" w:rsidRDefault="00676253" w:rsidP="00331A63">
      <w:pPr>
        <w:pStyle w:val="ListParagraph"/>
        <w:numPr>
          <w:ilvl w:val="0"/>
          <w:numId w:val="3"/>
        </w:numPr>
      </w:pPr>
      <w:r>
        <w:t>The Constabulary highlighted ongoing training for officers and staff, and the need to balance safeguarding and prevention with freedom of expression, supported through internal reviews and external scrutiny panels.</w:t>
      </w:r>
    </w:p>
    <w:p w14:paraId="611C6FBE" w14:textId="4DB813EC" w:rsidR="00331A63" w:rsidRDefault="00331A63" w:rsidP="00331A63">
      <w:pPr>
        <w:rPr>
          <w:b/>
          <w:bCs/>
          <w:u w:val="single"/>
        </w:rPr>
      </w:pPr>
      <w:r w:rsidRPr="00331A63">
        <w:rPr>
          <w:b/>
          <w:bCs/>
          <w:u w:val="single"/>
        </w:rPr>
        <w:lastRenderedPageBreak/>
        <w:t>Item 5: Missing persons</w:t>
      </w:r>
    </w:p>
    <w:p w14:paraId="66244040" w14:textId="6760492D" w:rsidR="00815768" w:rsidRDefault="00815768" w:rsidP="00815768">
      <w:pPr>
        <w:pStyle w:val="ListParagraph"/>
        <w:numPr>
          <w:ilvl w:val="0"/>
          <w:numId w:val="5"/>
        </w:numPr>
      </w:pPr>
      <w:r>
        <w:t xml:space="preserve">The </w:t>
      </w:r>
      <w:r w:rsidR="00EB6D81">
        <w:t xml:space="preserve">Chief Constable gave </w:t>
      </w:r>
      <w:r>
        <w:t>an overview of how the Constabulary responds to reports of missing people.</w:t>
      </w:r>
    </w:p>
    <w:p w14:paraId="17C1D488" w14:textId="77777777" w:rsidR="00815768" w:rsidRDefault="00815768" w:rsidP="00815768">
      <w:pPr>
        <w:pStyle w:val="ListParagraph"/>
        <w:numPr>
          <w:ilvl w:val="0"/>
          <w:numId w:val="5"/>
        </w:numPr>
      </w:pPr>
      <w:r>
        <w:t>Officers assess the level of risk in each case to decide how quickly and widely resources are deployed.</w:t>
      </w:r>
    </w:p>
    <w:p w14:paraId="020333DC" w14:textId="77777777" w:rsidR="00815768" w:rsidRDefault="00815768" w:rsidP="00815768">
      <w:pPr>
        <w:pStyle w:val="ListParagraph"/>
        <w:numPr>
          <w:ilvl w:val="0"/>
          <w:numId w:val="5"/>
        </w:numPr>
      </w:pPr>
      <w:r>
        <w:t>A strong focus is placed on safeguarding children and vulnerable people.</w:t>
      </w:r>
    </w:p>
    <w:p w14:paraId="4FE93937" w14:textId="11D045A5" w:rsidR="00815768" w:rsidRDefault="00EB6D81" w:rsidP="00815768">
      <w:pPr>
        <w:pStyle w:val="ListParagraph"/>
        <w:numPr>
          <w:ilvl w:val="0"/>
          <w:numId w:val="5"/>
        </w:numPr>
      </w:pPr>
      <w:r>
        <w:t>Concern</w:t>
      </w:r>
      <w:r w:rsidR="00815768">
        <w:t xml:space="preserve"> was raised around individuals who go missing repeatedly, especially where there are links to exploitation or criminal activity.</w:t>
      </w:r>
    </w:p>
    <w:p w14:paraId="4144D8F6" w14:textId="77777777" w:rsidR="00815768" w:rsidRDefault="00815768" w:rsidP="00815768">
      <w:pPr>
        <w:pStyle w:val="ListParagraph"/>
        <w:numPr>
          <w:ilvl w:val="0"/>
          <w:numId w:val="5"/>
        </w:numPr>
      </w:pPr>
      <w:r>
        <w:t>Partnership working is central to this response, involving local authorities, care providers, schools and charities.</w:t>
      </w:r>
    </w:p>
    <w:p w14:paraId="3FD9D6FC" w14:textId="09442804" w:rsidR="00331A63" w:rsidRPr="00331A63" w:rsidRDefault="00815768" w:rsidP="00815768">
      <w:pPr>
        <w:pStyle w:val="ListParagraph"/>
        <w:numPr>
          <w:ilvl w:val="0"/>
          <w:numId w:val="5"/>
        </w:numPr>
      </w:pPr>
      <w:r>
        <w:t>These partnerships help prevent repeat missing incidents and ensure appropriate support for those at risk.</w:t>
      </w:r>
    </w:p>
    <w:sectPr w:rsidR="00331A63" w:rsidRPr="00331A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28ED"/>
    <w:multiLevelType w:val="hybridMultilevel"/>
    <w:tmpl w:val="159699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C446C"/>
    <w:multiLevelType w:val="hybridMultilevel"/>
    <w:tmpl w:val="B59CD81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76475A"/>
    <w:multiLevelType w:val="hybridMultilevel"/>
    <w:tmpl w:val="1D5EFD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45735"/>
    <w:multiLevelType w:val="hybridMultilevel"/>
    <w:tmpl w:val="A1F6E1D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A31BF"/>
    <w:multiLevelType w:val="hybridMultilevel"/>
    <w:tmpl w:val="43628EA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684849">
    <w:abstractNumId w:val="4"/>
  </w:num>
  <w:num w:numId="2" w16cid:durableId="1726946559">
    <w:abstractNumId w:val="0"/>
  </w:num>
  <w:num w:numId="3" w16cid:durableId="1391921616">
    <w:abstractNumId w:val="1"/>
  </w:num>
  <w:num w:numId="4" w16cid:durableId="804809272">
    <w:abstractNumId w:val="2"/>
  </w:num>
  <w:num w:numId="5" w16cid:durableId="1853253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83"/>
    <w:rsid w:val="00032E8B"/>
    <w:rsid w:val="000B4D4B"/>
    <w:rsid w:val="000F51D1"/>
    <w:rsid w:val="000F59E6"/>
    <w:rsid w:val="00216B00"/>
    <w:rsid w:val="002278C8"/>
    <w:rsid w:val="00244637"/>
    <w:rsid w:val="002651E9"/>
    <w:rsid w:val="00331A63"/>
    <w:rsid w:val="00411F16"/>
    <w:rsid w:val="00413867"/>
    <w:rsid w:val="004F0E33"/>
    <w:rsid w:val="00676253"/>
    <w:rsid w:val="00687D1F"/>
    <w:rsid w:val="0069523D"/>
    <w:rsid w:val="00716F29"/>
    <w:rsid w:val="00815768"/>
    <w:rsid w:val="008779C4"/>
    <w:rsid w:val="00A01CC2"/>
    <w:rsid w:val="00AF4570"/>
    <w:rsid w:val="00B050F2"/>
    <w:rsid w:val="00B675B8"/>
    <w:rsid w:val="00CC2626"/>
    <w:rsid w:val="00D03B85"/>
    <w:rsid w:val="00D04C83"/>
    <w:rsid w:val="00EB1570"/>
    <w:rsid w:val="00EB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CED86"/>
  <w15:chartTrackingRefBased/>
  <w15:docId w15:val="{37C37635-DF9C-47F7-99BD-9373266E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C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C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C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C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C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C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C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C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C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C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C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C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C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C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C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686</Words>
  <Characters>3908</Characters>
  <Application>Microsoft Office Word</Application>
  <DocSecurity>0</DocSecurity>
  <Lines>88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MAKONI, Eleanor 8191</dc:creator>
  <cp:keywords/>
  <dc:description/>
  <cp:lastModifiedBy>MAKONI, Eleanor 8191</cp:lastModifiedBy>
  <cp:revision>22</cp:revision>
  <dcterms:created xsi:type="dcterms:W3CDTF">2026-04-15T09:14:00Z</dcterms:created>
  <dcterms:modified xsi:type="dcterms:W3CDTF">2026-04-15T10:31:00Z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5aee8-5735-4353-85b0-06b0f114040f_Enabled">
    <vt:lpwstr>true</vt:lpwstr>
  </property>
  <property fmtid="{D5CDD505-2E9C-101B-9397-08002B2CF9AE}" pid="3" name="MSIP_Label_b8b5aee8-5735-4353-85b0-06b0f114040f_SetDate">
    <vt:lpwstr>2026-04-15T09:28:03Z</vt:lpwstr>
  </property>
  <property fmtid="{D5CDD505-2E9C-101B-9397-08002B2CF9AE}" pid="4" name="MSIP_Label_b8b5aee8-5735-4353-85b0-06b0f114040f_Method">
    <vt:lpwstr>Standard</vt:lpwstr>
  </property>
  <property fmtid="{D5CDD505-2E9C-101B-9397-08002B2CF9AE}" pid="5" name="MSIP_Label_b8b5aee8-5735-4353-85b0-06b0f114040f_Name">
    <vt:lpwstr>b8b5aee8-5735-4353-85b0-06b0f114040f</vt:lpwstr>
  </property>
  <property fmtid="{D5CDD505-2E9C-101B-9397-08002B2CF9AE}" pid="6" name="MSIP_Label_b8b5aee8-5735-4353-85b0-06b0f114040f_SiteId">
    <vt:lpwstr>a3c59d1b-b8f1-4299-9d6a-39ad8f570422</vt:lpwstr>
  </property>
  <property fmtid="{D5CDD505-2E9C-101B-9397-08002B2CF9AE}" pid="7" name="MSIP_Label_b8b5aee8-5735-4353-85b0-06b0f114040f_ActionId">
    <vt:lpwstr>fb0adbe2-0047-42e3-b513-e93e3e767327</vt:lpwstr>
  </property>
  <property fmtid="{D5CDD505-2E9C-101B-9397-08002B2CF9AE}" pid="8" name="MSIP_Label_b8b5aee8-5735-4353-85b0-06b0f114040f_ContentBits">
    <vt:lpwstr>0</vt:lpwstr>
  </property>
  <property fmtid="{D5CDD505-2E9C-101B-9397-08002B2CF9AE}" pid="9" name="MSIP_Label_b8b5aee8-5735-4353-85b0-06b0f114040f_Tag">
    <vt:lpwstr>10, 3, 0, 1</vt:lpwstr>
  </property>
</Properties>
</file>