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4C634" w14:textId="77777777" w:rsidR="0065737D" w:rsidRDefault="0065737D" w:rsidP="0065737D">
      <w:pPr>
        <w:pStyle w:val="Default"/>
      </w:pPr>
      <w:r>
        <w:rPr>
          <w:noProof/>
        </w:rPr>
        <w:drawing>
          <wp:inline distT="0" distB="0" distL="0" distR="0" wp14:anchorId="50D489FA" wp14:editId="04BE1B23">
            <wp:extent cx="3105150" cy="1047750"/>
            <wp:effectExtent l="0" t="0" r="0" b="0"/>
            <wp:docPr id="4" name="Picture 1" descr="A black background with green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black background with green and blu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47B81" w14:textId="77777777" w:rsidR="0065737D" w:rsidRDefault="0065737D" w:rsidP="0065737D">
      <w:pPr>
        <w:rPr>
          <w:b/>
          <w:sz w:val="28"/>
          <w:szCs w:val="26"/>
        </w:rPr>
      </w:pPr>
    </w:p>
    <w:p w14:paraId="1A22C9B3" w14:textId="77777777" w:rsidR="0065737D" w:rsidRDefault="0065737D" w:rsidP="0065737D">
      <w:pPr>
        <w:rPr>
          <w:b/>
          <w:sz w:val="28"/>
          <w:szCs w:val="26"/>
        </w:rPr>
      </w:pPr>
      <w:r>
        <w:rPr>
          <w:b/>
          <w:sz w:val="28"/>
          <w:szCs w:val="26"/>
        </w:rPr>
        <w:t>Police and Crime Commissioner and Chief Constable</w:t>
      </w:r>
    </w:p>
    <w:p w14:paraId="43A09698" w14:textId="77777777" w:rsidR="0065737D" w:rsidRDefault="0065737D" w:rsidP="0065737D">
      <w:pPr>
        <w:rPr>
          <w:b/>
          <w:sz w:val="28"/>
          <w:szCs w:val="26"/>
        </w:rPr>
      </w:pPr>
      <w:r>
        <w:rPr>
          <w:b/>
          <w:sz w:val="28"/>
          <w:szCs w:val="26"/>
        </w:rPr>
        <w:t>Accountability and Performance Meeting</w:t>
      </w:r>
    </w:p>
    <w:p w14:paraId="02BE1266" w14:textId="0EFD8C5A" w:rsidR="0065737D" w:rsidRPr="00924085" w:rsidRDefault="00262009" w:rsidP="0065737D">
      <w:pPr>
        <w:rPr>
          <w:b/>
          <w:sz w:val="26"/>
          <w:szCs w:val="26"/>
        </w:rPr>
      </w:pPr>
      <w:r>
        <w:rPr>
          <w:sz w:val="26"/>
          <w:szCs w:val="26"/>
        </w:rPr>
        <w:t>1</w:t>
      </w:r>
      <w:r w:rsidR="00255A4B">
        <w:rPr>
          <w:sz w:val="26"/>
          <w:szCs w:val="26"/>
        </w:rPr>
        <w:t xml:space="preserve">1 September </w:t>
      </w:r>
      <w:r w:rsidR="0065737D">
        <w:rPr>
          <w:sz w:val="26"/>
          <w:szCs w:val="26"/>
        </w:rPr>
        <w:t>2025</w:t>
      </w:r>
      <w:r w:rsidR="0065737D" w:rsidRPr="008125CD">
        <w:rPr>
          <w:sz w:val="26"/>
          <w:szCs w:val="26"/>
        </w:rPr>
        <w:t xml:space="preserve">, </w:t>
      </w:r>
      <w:r>
        <w:rPr>
          <w:sz w:val="26"/>
          <w:szCs w:val="26"/>
        </w:rPr>
        <w:t>10:</w:t>
      </w:r>
      <w:r w:rsidR="0084401D">
        <w:rPr>
          <w:sz w:val="26"/>
          <w:szCs w:val="26"/>
        </w:rPr>
        <w:t>30</w:t>
      </w:r>
      <w:r w:rsidR="0065737D" w:rsidRPr="008125CD">
        <w:rPr>
          <w:sz w:val="26"/>
          <w:szCs w:val="26"/>
        </w:rPr>
        <w:t>-1</w:t>
      </w:r>
      <w:r w:rsidR="0084401D">
        <w:rPr>
          <w:sz w:val="26"/>
          <w:szCs w:val="26"/>
        </w:rPr>
        <w:t>1</w:t>
      </w:r>
      <w:r w:rsidR="0065737D" w:rsidRPr="008125CD">
        <w:rPr>
          <w:sz w:val="26"/>
          <w:szCs w:val="26"/>
        </w:rPr>
        <w:t>.</w:t>
      </w:r>
      <w:r w:rsidR="0065737D">
        <w:rPr>
          <w:sz w:val="26"/>
          <w:szCs w:val="26"/>
        </w:rPr>
        <w:t>30</w:t>
      </w:r>
      <w:r w:rsidR="00690994">
        <w:rPr>
          <w:b/>
          <w:sz w:val="26"/>
          <w:szCs w:val="26"/>
        </w:rPr>
        <w:t xml:space="preserve">: </w:t>
      </w:r>
      <w:r w:rsidR="0065737D">
        <w:rPr>
          <w:sz w:val="26"/>
          <w:szCs w:val="26"/>
        </w:rPr>
        <w:t>Gold Command</w:t>
      </w:r>
      <w:r w:rsidR="0065737D" w:rsidRPr="008125CD">
        <w:rPr>
          <w:sz w:val="26"/>
          <w:szCs w:val="26"/>
        </w:rPr>
        <w:t>, Police HQ</w:t>
      </w:r>
    </w:p>
    <w:p w14:paraId="49297B69" w14:textId="23577CB9" w:rsidR="00262009" w:rsidRDefault="00262009" w:rsidP="003D2B9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note</w:t>
      </w:r>
    </w:p>
    <w:p w14:paraId="0928C4C2" w14:textId="48EA38E4" w:rsidR="003D2B94" w:rsidRPr="003D2B94" w:rsidRDefault="003D2B94" w:rsidP="003D2B94">
      <w:r w:rsidRPr="003D2B94">
        <w:t xml:space="preserve">On </w:t>
      </w:r>
      <w:r w:rsidR="0099790A">
        <w:t>1</w:t>
      </w:r>
      <w:r w:rsidR="00255A4B">
        <w:t>1</w:t>
      </w:r>
      <w:r w:rsidR="0099790A">
        <w:t xml:space="preserve"> </w:t>
      </w:r>
      <w:r w:rsidR="00255A4B">
        <w:t xml:space="preserve">September </w:t>
      </w:r>
      <w:r w:rsidR="0099790A">
        <w:t>2025</w:t>
      </w:r>
      <w:r w:rsidRPr="003D2B94">
        <w:t>, the Police and Crime Commissioner for Hertfordshire, Jonathan Ash-Edwards, chaired the monthly Accountability and Performance Meeting, joined by Chief Constable Andy Pro</w:t>
      </w:r>
      <w:r w:rsidR="00CB654A">
        <w:t>phet</w:t>
      </w:r>
      <w:r w:rsidRPr="003D2B94">
        <w:t>. These meetings support the Commissioner’s statutory duty to hold the Chief Constable to account for the performance of Hertfordshire Constabulary.</w:t>
      </w:r>
    </w:p>
    <w:p w14:paraId="0E9D7467" w14:textId="77777777" w:rsidR="00AA07D1" w:rsidRPr="00AA07D1" w:rsidRDefault="00AA07D1" w:rsidP="003D2B94">
      <w:pPr>
        <w:rPr>
          <w:b/>
          <w:bCs/>
          <w:sz w:val="2"/>
          <w:szCs w:val="2"/>
        </w:rPr>
      </w:pPr>
    </w:p>
    <w:p w14:paraId="7C1101E4" w14:textId="1EFA97C7" w:rsidR="003D2B94" w:rsidRPr="003D2B94" w:rsidRDefault="003D2B94" w:rsidP="003D2B94">
      <w:pPr>
        <w:rPr>
          <w:b/>
          <w:bCs/>
        </w:rPr>
      </w:pPr>
      <w:r w:rsidRPr="003D2B94">
        <w:rPr>
          <w:b/>
          <w:bCs/>
        </w:rPr>
        <w:t>Agenda</w:t>
      </w:r>
      <w:r w:rsidR="003D1E87">
        <w:rPr>
          <w:b/>
          <w:bCs/>
        </w:rPr>
        <w:t>:</w:t>
      </w:r>
    </w:p>
    <w:p w14:paraId="39D266DD" w14:textId="4FA28B19" w:rsidR="00255A4B" w:rsidRDefault="00ED3CA8" w:rsidP="00B44DCE">
      <w:pPr>
        <w:pStyle w:val="ListParagraph"/>
        <w:numPr>
          <w:ilvl w:val="0"/>
          <w:numId w:val="24"/>
        </w:numPr>
        <w:rPr>
          <w:b/>
          <w:bCs/>
        </w:rPr>
      </w:pPr>
      <w:r w:rsidRPr="00255A4B">
        <w:rPr>
          <w:b/>
          <w:bCs/>
        </w:rPr>
        <w:t>I</w:t>
      </w:r>
      <w:r w:rsidR="00AA07D1" w:rsidRPr="00255A4B">
        <w:rPr>
          <w:b/>
          <w:bCs/>
        </w:rPr>
        <w:t>tem 1</w:t>
      </w:r>
      <w:r w:rsidRPr="00255A4B">
        <w:rPr>
          <w:b/>
          <w:bCs/>
        </w:rPr>
        <w:t xml:space="preserve">: </w:t>
      </w:r>
      <w:r w:rsidR="00255A4B" w:rsidRPr="00255A4B">
        <w:rPr>
          <w:b/>
          <w:bCs/>
        </w:rPr>
        <w:t xml:space="preserve">Rural Crime </w:t>
      </w:r>
      <w:r w:rsidRPr="00255A4B">
        <w:rPr>
          <w:b/>
          <w:bCs/>
        </w:rPr>
        <w:t>  </w:t>
      </w:r>
    </w:p>
    <w:p w14:paraId="39DA5DE2" w14:textId="577154F0" w:rsidR="00255A4B" w:rsidRDefault="00255A4B" w:rsidP="00B44DCE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Item 2: Firearms Licencing </w:t>
      </w:r>
    </w:p>
    <w:p w14:paraId="52A479EE" w14:textId="77777777" w:rsidR="00255A4B" w:rsidRPr="00255A4B" w:rsidRDefault="00255A4B" w:rsidP="00255A4B">
      <w:pPr>
        <w:pStyle w:val="ListParagraph"/>
        <w:numPr>
          <w:ilvl w:val="0"/>
          <w:numId w:val="24"/>
        </w:numPr>
      </w:pPr>
      <w:r>
        <w:rPr>
          <w:b/>
          <w:bCs/>
        </w:rPr>
        <w:t xml:space="preserve">Item 3: </w:t>
      </w:r>
      <w:r w:rsidRPr="00255A4B">
        <w:rPr>
          <w:b/>
          <w:bCs/>
        </w:rPr>
        <w:t>Public Protection – Clare’s Law and Domestic Violence Protection Orders</w:t>
      </w:r>
    </w:p>
    <w:p w14:paraId="6C951E3B" w14:textId="72B84497" w:rsidR="00255A4B" w:rsidRPr="00255A4B" w:rsidRDefault="00255A4B" w:rsidP="003D2B94">
      <w:pPr>
        <w:pStyle w:val="ListParagraph"/>
        <w:numPr>
          <w:ilvl w:val="0"/>
          <w:numId w:val="24"/>
        </w:numPr>
      </w:pPr>
      <w:r w:rsidRPr="00255A4B">
        <w:rPr>
          <w:b/>
          <w:bCs/>
        </w:rPr>
        <w:t>Item 4: Out of Court Resolutions (OOCRs)</w:t>
      </w:r>
    </w:p>
    <w:p w14:paraId="68309F71" w14:textId="77777777" w:rsidR="00255A4B" w:rsidRPr="00AA07D1" w:rsidRDefault="00255A4B" w:rsidP="003D2B94">
      <w:pPr>
        <w:rPr>
          <w:b/>
          <w:bCs/>
          <w:sz w:val="6"/>
          <w:szCs w:val="6"/>
        </w:rPr>
      </w:pPr>
    </w:p>
    <w:p w14:paraId="6C2826B0" w14:textId="569308C1" w:rsidR="00AA07D1" w:rsidRDefault="00AA07D1" w:rsidP="00AA07D1">
      <w:r w:rsidRPr="00ED3CA8">
        <w:rPr>
          <w:b/>
          <w:bCs/>
        </w:rPr>
        <w:t>I</w:t>
      </w:r>
      <w:r w:rsidR="00553B33">
        <w:rPr>
          <w:b/>
          <w:bCs/>
        </w:rPr>
        <w:t>tem</w:t>
      </w:r>
      <w:r w:rsidRPr="00ED3CA8">
        <w:rPr>
          <w:b/>
          <w:bCs/>
        </w:rPr>
        <w:t xml:space="preserve"> 1: </w:t>
      </w:r>
      <w:r w:rsidR="00255A4B">
        <w:rPr>
          <w:b/>
          <w:bCs/>
        </w:rPr>
        <w:t xml:space="preserve">Rural Crime </w:t>
      </w:r>
      <w:r w:rsidRPr="00ED3CA8">
        <w:rPr>
          <w:b/>
          <w:bCs/>
        </w:rPr>
        <w:t>  </w:t>
      </w:r>
      <w:r w:rsidRPr="00ED3CA8">
        <w:t> </w:t>
      </w:r>
    </w:p>
    <w:p w14:paraId="63269B8F" w14:textId="77777777" w:rsidR="00602C0B" w:rsidRPr="00602C0B" w:rsidRDefault="00602C0B" w:rsidP="00602C0B">
      <w:pPr>
        <w:pStyle w:val="ListParagraph"/>
        <w:numPr>
          <w:ilvl w:val="0"/>
          <w:numId w:val="30"/>
        </w:numPr>
      </w:pPr>
      <w:r w:rsidRPr="00602C0B">
        <w:rPr>
          <w:b/>
          <w:bCs/>
        </w:rPr>
        <w:t>Dedicated Response Team</w:t>
      </w:r>
      <w:r w:rsidRPr="00602C0B">
        <w:t xml:space="preserve">: Hertfordshire Constabulary’s </w:t>
      </w:r>
      <w:r w:rsidRPr="00602C0B">
        <w:rPr>
          <w:b/>
          <w:bCs/>
        </w:rPr>
        <w:t>Rural Operational Support Team (ROST)</w:t>
      </w:r>
      <w:r w:rsidRPr="00602C0B">
        <w:t xml:space="preserve"> consists of 7 officers who work closely with neighbourhood policing teams and farming communities to tackle rural crime proactively.</w:t>
      </w:r>
    </w:p>
    <w:p w14:paraId="5B2A9A02" w14:textId="77777777" w:rsidR="00602C0B" w:rsidRPr="00602C0B" w:rsidRDefault="00602C0B" w:rsidP="00602C0B">
      <w:pPr>
        <w:numPr>
          <w:ilvl w:val="0"/>
          <w:numId w:val="26"/>
        </w:numPr>
      </w:pPr>
      <w:r w:rsidRPr="00602C0B">
        <w:rPr>
          <w:b/>
          <w:bCs/>
        </w:rPr>
        <w:t>Cross-Border Farm Protection</w:t>
      </w:r>
      <w:r w:rsidRPr="00602C0B">
        <w:t xml:space="preserve">: 29 farms located near county borders have been mapped and assigned </w:t>
      </w:r>
      <w:r w:rsidRPr="00602C0B">
        <w:rPr>
          <w:b/>
          <w:bCs/>
        </w:rPr>
        <w:t>tailored response plans</w:t>
      </w:r>
      <w:r w:rsidRPr="00602C0B">
        <w:t>, improving coordination and response to incidents.</w:t>
      </w:r>
    </w:p>
    <w:p w14:paraId="0C632F7F" w14:textId="77777777" w:rsidR="00602C0B" w:rsidRPr="00602C0B" w:rsidRDefault="00602C0B" w:rsidP="00602C0B">
      <w:pPr>
        <w:numPr>
          <w:ilvl w:val="0"/>
          <w:numId w:val="26"/>
        </w:numPr>
      </w:pPr>
      <w:r w:rsidRPr="00602C0B">
        <w:rPr>
          <w:b/>
          <w:bCs/>
        </w:rPr>
        <w:t>Forensic Marking Deployment</w:t>
      </w:r>
      <w:r w:rsidRPr="00602C0B">
        <w:t xml:space="preserve">: Over </w:t>
      </w:r>
      <w:r w:rsidRPr="00602C0B">
        <w:rPr>
          <w:b/>
          <w:bCs/>
        </w:rPr>
        <w:t>200 SelectaDNA kits</w:t>
      </w:r>
      <w:r w:rsidRPr="00602C0B">
        <w:t xml:space="preserve"> have been distributed to rural businesses, helping to deter theft and aid recovery. Approximately </w:t>
      </w:r>
      <w:r w:rsidRPr="00602C0B">
        <w:rPr>
          <w:b/>
          <w:bCs/>
        </w:rPr>
        <w:t>30 businesses</w:t>
      </w:r>
      <w:r w:rsidRPr="00602C0B">
        <w:t xml:space="preserve"> are now protected through this initiative.</w:t>
      </w:r>
    </w:p>
    <w:p w14:paraId="5421DCC6" w14:textId="77777777" w:rsidR="00602C0B" w:rsidRPr="00602C0B" w:rsidRDefault="00602C0B" w:rsidP="00602C0B">
      <w:pPr>
        <w:numPr>
          <w:ilvl w:val="0"/>
          <w:numId w:val="26"/>
        </w:numPr>
      </w:pPr>
      <w:r w:rsidRPr="00602C0B">
        <w:rPr>
          <w:b/>
          <w:bCs/>
        </w:rPr>
        <w:lastRenderedPageBreak/>
        <w:t>Fly Tipping Enforcement</w:t>
      </w:r>
      <w:r w:rsidRPr="00602C0B">
        <w:t xml:space="preserve">: Efforts are focused on </w:t>
      </w:r>
      <w:r w:rsidRPr="00602C0B">
        <w:rPr>
          <w:b/>
          <w:bCs/>
        </w:rPr>
        <w:t>private land</w:t>
      </w:r>
      <w:r w:rsidRPr="00602C0B">
        <w:t xml:space="preserve">, with proactive measures including </w:t>
      </w:r>
      <w:r w:rsidRPr="00602C0B">
        <w:rPr>
          <w:b/>
          <w:bCs/>
        </w:rPr>
        <w:t>rural watch schemes</w:t>
      </w:r>
      <w:r w:rsidRPr="00602C0B">
        <w:t xml:space="preserve"> and collaboration with the </w:t>
      </w:r>
      <w:r w:rsidRPr="00602C0B">
        <w:rPr>
          <w:b/>
          <w:bCs/>
        </w:rPr>
        <w:t>Environment Agency</w:t>
      </w:r>
      <w:r w:rsidRPr="00602C0B">
        <w:t xml:space="preserve">. Of 50 concerns raised, 29 were formally recorded. Enforcement activity has led to </w:t>
      </w:r>
      <w:r w:rsidRPr="00602C0B">
        <w:rPr>
          <w:b/>
          <w:bCs/>
        </w:rPr>
        <w:t>hundreds of vehicle stops</w:t>
      </w:r>
      <w:r w:rsidRPr="00602C0B">
        <w:t>, disrupting organised waste crime networks.</w:t>
      </w:r>
    </w:p>
    <w:p w14:paraId="321F7644" w14:textId="384D8267" w:rsidR="00602C0B" w:rsidRPr="00602C0B" w:rsidRDefault="007D3B60" w:rsidP="00602C0B">
      <w:pPr>
        <w:rPr>
          <w:b/>
          <w:bCs/>
        </w:rPr>
      </w:pPr>
      <w:r>
        <w:rPr>
          <w:b/>
          <w:bCs/>
        </w:rPr>
        <w:t xml:space="preserve">Item </w:t>
      </w:r>
      <w:r w:rsidR="00602C0B" w:rsidRPr="00602C0B">
        <w:rPr>
          <w:b/>
          <w:bCs/>
        </w:rPr>
        <w:t>2. Firearms Licensing</w:t>
      </w:r>
    </w:p>
    <w:p w14:paraId="7C08DC7A" w14:textId="7EB72786" w:rsidR="00602C0B" w:rsidRPr="00602C0B" w:rsidRDefault="00602C0B" w:rsidP="00602C0B">
      <w:pPr>
        <w:numPr>
          <w:ilvl w:val="0"/>
          <w:numId w:val="27"/>
        </w:numPr>
      </w:pPr>
      <w:r w:rsidRPr="00602C0B">
        <w:rPr>
          <w:b/>
          <w:bCs/>
        </w:rPr>
        <w:t>Backlog Reduction</w:t>
      </w:r>
      <w:r w:rsidRPr="00602C0B">
        <w:t xml:space="preserve">: The number of outstanding firearms licence renewals has been reduced from </w:t>
      </w:r>
      <w:r w:rsidRPr="00602C0B">
        <w:rPr>
          <w:b/>
          <w:bCs/>
        </w:rPr>
        <w:t>1,200 in February 2025</w:t>
      </w:r>
      <w:r w:rsidRPr="00602C0B">
        <w:t xml:space="preserve"> to </w:t>
      </w:r>
      <w:r w:rsidRPr="00602C0B">
        <w:rPr>
          <w:b/>
          <w:bCs/>
        </w:rPr>
        <w:t>800 by September 2025</w:t>
      </w:r>
      <w:r w:rsidRPr="00602C0B">
        <w:t xml:space="preserve">, with a total of </w:t>
      </w:r>
      <w:r w:rsidRPr="00602C0B">
        <w:rPr>
          <w:b/>
          <w:bCs/>
        </w:rPr>
        <w:t>8,500 licences</w:t>
      </w:r>
      <w:r w:rsidRPr="00602C0B">
        <w:t xml:space="preserve"> </w:t>
      </w:r>
      <w:r w:rsidR="006C0277">
        <w:t xml:space="preserve">due for renewal in 2025/26. </w:t>
      </w:r>
    </w:p>
    <w:p w14:paraId="7AFF22FC" w14:textId="77777777" w:rsidR="00602C0B" w:rsidRPr="00602C0B" w:rsidRDefault="00602C0B" w:rsidP="00602C0B">
      <w:pPr>
        <w:numPr>
          <w:ilvl w:val="0"/>
          <w:numId w:val="27"/>
        </w:numPr>
      </w:pPr>
      <w:r w:rsidRPr="00602C0B">
        <w:rPr>
          <w:b/>
          <w:bCs/>
        </w:rPr>
        <w:t>Staffing Investment</w:t>
      </w:r>
      <w:r w:rsidRPr="00602C0B">
        <w:t xml:space="preserve">: An additional </w:t>
      </w:r>
      <w:r w:rsidRPr="00602C0B">
        <w:rPr>
          <w:b/>
          <w:bCs/>
        </w:rPr>
        <w:t>12–13 staff</w:t>
      </w:r>
      <w:r w:rsidRPr="00602C0B">
        <w:t xml:space="preserve"> have been recruited to focus specifically on Hertfordshire cases, aiming to improve turnaround times.</w:t>
      </w:r>
    </w:p>
    <w:p w14:paraId="0282CD4E" w14:textId="5DCFC67D" w:rsidR="006C0277" w:rsidRPr="00602C0B" w:rsidRDefault="00602C0B" w:rsidP="006C0277">
      <w:pPr>
        <w:numPr>
          <w:ilvl w:val="0"/>
          <w:numId w:val="27"/>
        </w:numPr>
      </w:pPr>
      <w:r w:rsidRPr="00602C0B">
        <w:rPr>
          <w:b/>
          <w:bCs/>
        </w:rPr>
        <w:t>Inspection Readiness</w:t>
      </w:r>
      <w:r w:rsidRPr="00602C0B">
        <w:t xml:space="preserve">: Hertfordshire has been selected for a </w:t>
      </w:r>
      <w:r w:rsidRPr="00602C0B">
        <w:rPr>
          <w:b/>
          <w:bCs/>
        </w:rPr>
        <w:t>HMICFRS thematic inspection</w:t>
      </w:r>
      <w:r w:rsidRPr="00602C0B">
        <w:t xml:space="preserve"> on firearms licensing, scheduled between </w:t>
      </w:r>
      <w:r w:rsidRPr="00602C0B">
        <w:rPr>
          <w:b/>
          <w:bCs/>
        </w:rPr>
        <w:t>November 2025 and February 2026</w:t>
      </w:r>
      <w:r w:rsidRPr="00602C0B">
        <w:t>. Preparatory work is being accelerated to meet inspection standards.</w:t>
      </w:r>
    </w:p>
    <w:p w14:paraId="539BCD9D" w14:textId="6EB951DD" w:rsidR="00602C0B" w:rsidRPr="00602C0B" w:rsidRDefault="007D3B60" w:rsidP="00602C0B">
      <w:pPr>
        <w:rPr>
          <w:b/>
          <w:bCs/>
        </w:rPr>
      </w:pPr>
      <w:r>
        <w:rPr>
          <w:b/>
          <w:bCs/>
        </w:rPr>
        <w:t xml:space="preserve">Item </w:t>
      </w:r>
      <w:r w:rsidR="00602C0B" w:rsidRPr="00602C0B">
        <w:rPr>
          <w:b/>
          <w:bCs/>
        </w:rPr>
        <w:t>3. Public Protection – Clare’s Law &amp; DVPOs</w:t>
      </w:r>
    </w:p>
    <w:p w14:paraId="1B2BEC89" w14:textId="77777777" w:rsidR="00602C0B" w:rsidRPr="00602C0B" w:rsidRDefault="00602C0B" w:rsidP="00602C0B">
      <w:pPr>
        <w:numPr>
          <w:ilvl w:val="0"/>
          <w:numId w:val="28"/>
        </w:numPr>
      </w:pPr>
      <w:r w:rsidRPr="00602C0B">
        <w:rPr>
          <w:b/>
          <w:bCs/>
        </w:rPr>
        <w:t>Clare’s Law Disclosures</w:t>
      </w:r>
      <w:r w:rsidRPr="00602C0B">
        <w:t xml:space="preserve">: There has been a marked increase in </w:t>
      </w:r>
      <w:r w:rsidRPr="00602C0B">
        <w:rPr>
          <w:b/>
          <w:bCs/>
        </w:rPr>
        <w:t>proactive disclosures</w:t>
      </w:r>
      <w:r w:rsidRPr="00602C0B">
        <w:t xml:space="preserve"> under Clare’s Law: </w:t>
      </w:r>
    </w:p>
    <w:p w14:paraId="7F1DF7D7" w14:textId="77777777" w:rsidR="00602C0B" w:rsidRPr="00602C0B" w:rsidRDefault="00602C0B" w:rsidP="00602C0B">
      <w:pPr>
        <w:numPr>
          <w:ilvl w:val="1"/>
          <w:numId w:val="28"/>
        </w:numPr>
      </w:pPr>
      <w:r w:rsidRPr="00602C0B">
        <w:rPr>
          <w:b/>
          <w:bCs/>
        </w:rPr>
        <w:t>Right to Ask</w:t>
      </w:r>
      <w:r w:rsidRPr="00602C0B">
        <w:t>: 76 (2023) → 334 (2024) → 304 (2025 YTD)</w:t>
      </w:r>
    </w:p>
    <w:p w14:paraId="3BB9FC86" w14:textId="77777777" w:rsidR="00602C0B" w:rsidRPr="00602C0B" w:rsidRDefault="00602C0B" w:rsidP="00602C0B">
      <w:pPr>
        <w:numPr>
          <w:ilvl w:val="1"/>
          <w:numId w:val="28"/>
        </w:numPr>
      </w:pPr>
      <w:r w:rsidRPr="00602C0B">
        <w:rPr>
          <w:b/>
          <w:bCs/>
        </w:rPr>
        <w:t>Right to Know</w:t>
      </w:r>
      <w:r w:rsidRPr="00602C0B">
        <w:t>: 6 (2023) → 20 (2024) → 130 (2025 YTD)</w:t>
      </w:r>
      <w:r w:rsidRPr="00602C0B">
        <w:br/>
        <w:t>This reflects improved awareness and proactive safeguarding efforts.</w:t>
      </w:r>
    </w:p>
    <w:p w14:paraId="69197F9D" w14:textId="77777777" w:rsidR="00602C0B" w:rsidRPr="00602C0B" w:rsidRDefault="00602C0B" w:rsidP="00602C0B">
      <w:pPr>
        <w:numPr>
          <w:ilvl w:val="0"/>
          <w:numId w:val="28"/>
        </w:numPr>
      </w:pPr>
      <w:r w:rsidRPr="00602C0B">
        <w:rPr>
          <w:b/>
          <w:bCs/>
        </w:rPr>
        <w:t>Domestic Violence Protection Orders (DVPOs)</w:t>
      </w:r>
      <w:r w:rsidRPr="00602C0B">
        <w:t xml:space="preserve">: 14 DVPOs have been issued. Of these, </w:t>
      </w:r>
      <w:r w:rsidRPr="00602C0B">
        <w:rPr>
          <w:b/>
          <w:bCs/>
        </w:rPr>
        <w:t>10 were breached</w:t>
      </w:r>
      <w:r w:rsidRPr="00602C0B">
        <w:t xml:space="preserve">, resulting in </w:t>
      </w:r>
      <w:r w:rsidRPr="00602C0B">
        <w:rPr>
          <w:b/>
          <w:bCs/>
        </w:rPr>
        <w:t>5 arrests</w:t>
      </w:r>
      <w:r w:rsidRPr="00602C0B">
        <w:t xml:space="preserve">, with the remaining 5 cases under </w:t>
      </w:r>
      <w:r w:rsidRPr="00602C0B">
        <w:rPr>
          <w:b/>
          <w:bCs/>
        </w:rPr>
        <w:t>active monitoring</w:t>
      </w:r>
      <w:r w:rsidRPr="00602C0B">
        <w:t>.</w:t>
      </w:r>
    </w:p>
    <w:p w14:paraId="12418932" w14:textId="727B4F62" w:rsidR="00602C0B" w:rsidRPr="00602C0B" w:rsidRDefault="007D3B60" w:rsidP="00602C0B">
      <w:pPr>
        <w:rPr>
          <w:b/>
          <w:bCs/>
        </w:rPr>
      </w:pPr>
      <w:r>
        <w:rPr>
          <w:b/>
          <w:bCs/>
        </w:rPr>
        <w:t xml:space="preserve">Item </w:t>
      </w:r>
      <w:r w:rsidR="00602C0B" w:rsidRPr="00602C0B">
        <w:rPr>
          <w:b/>
          <w:bCs/>
        </w:rPr>
        <w:t>4. Out of Court Resolutions (OOCRs)</w:t>
      </w:r>
    </w:p>
    <w:p w14:paraId="773910DD" w14:textId="77777777" w:rsidR="00602C0B" w:rsidRPr="00602C0B" w:rsidRDefault="00602C0B" w:rsidP="00602C0B">
      <w:pPr>
        <w:numPr>
          <w:ilvl w:val="0"/>
          <w:numId w:val="29"/>
        </w:numPr>
      </w:pPr>
      <w:r w:rsidRPr="00602C0B">
        <w:rPr>
          <w:b/>
          <w:bCs/>
        </w:rPr>
        <w:t>Increased Usage</w:t>
      </w:r>
      <w:r w:rsidRPr="00602C0B">
        <w:t xml:space="preserve">: A total of </w:t>
      </w:r>
      <w:r w:rsidRPr="00602C0B">
        <w:rPr>
          <w:b/>
          <w:bCs/>
        </w:rPr>
        <w:t>320 OOCRs</w:t>
      </w:r>
      <w:r w:rsidRPr="00602C0B">
        <w:t xml:space="preserve"> have been issued year-to-date, accounting for </w:t>
      </w:r>
      <w:r w:rsidRPr="00602C0B">
        <w:rPr>
          <w:b/>
          <w:bCs/>
        </w:rPr>
        <w:t>4% of crime resolutions</w:t>
      </w:r>
      <w:r w:rsidRPr="00602C0B">
        <w:t xml:space="preserve">. The target is to reach </w:t>
      </w:r>
      <w:r w:rsidRPr="00602C0B">
        <w:rPr>
          <w:b/>
          <w:bCs/>
        </w:rPr>
        <w:t>8%</w:t>
      </w:r>
      <w:r w:rsidRPr="00602C0B">
        <w:t>.</w:t>
      </w:r>
    </w:p>
    <w:p w14:paraId="6348D5FC" w14:textId="77777777" w:rsidR="00602C0B" w:rsidRPr="00602C0B" w:rsidRDefault="00602C0B" w:rsidP="00602C0B">
      <w:pPr>
        <w:numPr>
          <w:ilvl w:val="0"/>
          <w:numId w:val="29"/>
        </w:numPr>
      </w:pPr>
      <w:r w:rsidRPr="00602C0B">
        <w:rPr>
          <w:b/>
          <w:bCs/>
        </w:rPr>
        <w:t>Process Barriers</w:t>
      </w:r>
      <w:r w:rsidRPr="00602C0B">
        <w:t>: The current forms are seen as a barrier to wider use; simplification is needed to support frontline officers.</w:t>
      </w:r>
    </w:p>
    <w:p w14:paraId="7C460D5E" w14:textId="77777777" w:rsidR="00602C0B" w:rsidRPr="00602C0B" w:rsidRDefault="00602C0B" w:rsidP="00602C0B">
      <w:pPr>
        <w:numPr>
          <w:ilvl w:val="0"/>
          <w:numId w:val="29"/>
        </w:numPr>
      </w:pPr>
      <w:r w:rsidRPr="00602C0B">
        <w:rPr>
          <w:b/>
          <w:bCs/>
        </w:rPr>
        <w:t>Scrutiny and Oversight</w:t>
      </w:r>
      <w:r w:rsidRPr="00602C0B">
        <w:t xml:space="preserve">: An </w:t>
      </w:r>
      <w:r w:rsidRPr="00602C0B">
        <w:rPr>
          <w:b/>
          <w:bCs/>
        </w:rPr>
        <w:t>external reference group</w:t>
      </w:r>
      <w:r w:rsidRPr="00602C0B">
        <w:t xml:space="preserve"> is reviewing OOCRs to identify missed opportunities and ensure appropriate use.</w:t>
      </w:r>
    </w:p>
    <w:p w14:paraId="267BD3C6" w14:textId="77777777" w:rsidR="00602C0B" w:rsidRPr="00602C0B" w:rsidRDefault="00602C0B" w:rsidP="00602C0B">
      <w:pPr>
        <w:numPr>
          <w:ilvl w:val="0"/>
          <w:numId w:val="29"/>
        </w:numPr>
      </w:pPr>
      <w:r w:rsidRPr="00602C0B">
        <w:rPr>
          <w:b/>
          <w:bCs/>
        </w:rPr>
        <w:t>Victim-Centric Focus</w:t>
      </w:r>
      <w:r w:rsidRPr="00602C0B">
        <w:t xml:space="preserve">: There is a renewed emphasis on ensuring that </w:t>
      </w:r>
      <w:r w:rsidRPr="00602C0B">
        <w:rPr>
          <w:b/>
          <w:bCs/>
        </w:rPr>
        <w:t>victim wishes</w:t>
      </w:r>
      <w:r w:rsidRPr="00602C0B">
        <w:t xml:space="preserve"> are understood and incorporated into decision-making.</w:t>
      </w:r>
    </w:p>
    <w:p w14:paraId="777819E2" w14:textId="4B6202BC" w:rsidR="00602C0B" w:rsidRPr="00602C0B" w:rsidRDefault="00602C0B" w:rsidP="00602C0B">
      <w:pPr>
        <w:numPr>
          <w:ilvl w:val="0"/>
          <w:numId w:val="29"/>
        </w:numPr>
      </w:pPr>
      <w:r w:rsidRPr="00602C0B">
        <w:rPr>
          <w:b/>
          <w:bCs/>
        </w:rPr>
        <w:lastRenderedPageBreak/>
        <w:t>Forward Look</w:t>
      </w:r>
      <w:r w:rsidRPr="00602C0B">
        <w:t xml:space="preserve">: The new </w:t>
      </w:r>
      <w:r w:rsidRPr="00602C0B">
        <w:rPr>
          <w:b/>
          <w:bCs/>
        </w:rPr>
        <w:t>force structure introduced on 15 September</w:t>
      </w:r>
      <w:r w:rsidRPr="00602C0B">
        <w:t xml:space="preserve"> is expected to support improved resolution rates. </w:t>
      </w:r>
      <w:r w:rsidR="00605353">
        <w:t xml:space="preserve">The force will review </w:t>
      </w:r>
      <w:r w:rsidR="008665E6">
        <w:t xml:space="preserve">OCCRs </w:t>
      </w:r>
      <w:r w:rsidRPr="00602C0B">
        <w:rPr>
          <w:b/>
          <w:bCs/>
        </w:rPr>
        <w:t>in six months</w:t>
      </w:r>
      <w:r w:rsidRPr="00602C0B">
        <w:t xml:space="preserve"> </w:t>
      </w:r>
      <w:r w:rsidR="00605353">
        <w:t xml:space="preserve">to assess </w:t>
      </w:r>
      <w:r w:rsidRPr="00602C0B">
        <w:t>progress and impact.</w:t>
      </w:r>
    </w:p>
    <w:p w14:paraId="7EE4682D" w14:textId="77777777" w:rsidR="00602C0B" w:rsidRDefault="00602C0B" w:rsidP="00AA07D1"/>
    <w:sectPr w:rsidR="00602C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B36D" w14:textId="77777777" w:rsidR="00A468CB" w:rsidRDefault="00A468CB" w:rsidP="003D2B94">
      <w:pPr>
        <w:spacing w:after="0" w:line="240" w:lineRule="auto"/>
      </w:pPr>
      <w:r>
        <w:separator/>
      </w:r>
    </w:p>
  </w:endnote>
  <w:endnote w:type="continuationSeparator" w:id="0">
    <w:p w14:paraId="18619174" w14:textId="77777777" w:rsidR="00A468CB" w:rsidRDefault="00A468CB" w:rsidP="003D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2587" w14:textId="77777777" w:rsidR="00393127" w:rsidRDefault="003931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202548"/>
      <w:docPartObj>
        <w:docPartGallery w:val="Page Numbers (Bottom of Page)"/>
        <w:docPartUnique/>
      </w:docPartObj>
    </w:sdtPr>
    <w:sdtContent>
      <w:p w14:paraId="35EA6975" w14:textId="3E63B819" w:rsidR="003D2B94" w:rsidRDefault="003D2B9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30A2C" w14:textId="77777777" w:rsidR="003D2B94" w:rsidRDefault="003D2B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69D7" w14:textId="77777777" w:rsidR="00393127" w:rsidRDefault="00393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192AD" w14:textId="77777777" w:rsidR="00A468CB" w:rsidRDefault="00A468CB" w:rsidP="003D2B94">
      <w:pPr>
        <w:spacing w:after="0" w:line="240" w:lineRule="auto"/>
      </w:pPr>
      <w:r>
        <w:separator/>
      </w:r>
    </w:p>
  </w:footnote>
  <w:footnote w:type="continuationSeparator" w:id="0">
    <w:p w14:paraId="5199A7A1" w14:textId="77777777" w:rsidR="00A468CB" w:rsidRDefault="00A468CB" w:rsidP="003D2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AD4F" w14:textId="77777777" w:rsidR="00393127" w:rsidRDefault="00393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BCFC" w14:textId="1474AB7C" w:rsidR="00393127" w:rsidRDefault="003931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960B" w14:textId="77777777" w:rsidR="00393127" w:rsidRDefault="00393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CA3"/>
    <w:multiLevelType w:val="multilevel"/>
    <w:tmpl w:val="4C10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64D62"/>
    <w:multiLevelType w:val="multilevel"/>
    <w:tmpl w:val="BB70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18037F"/>
    <w:multiLevelType w:val="multilevel"/>
    <w:tmpl w:val="C1A2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957160"/>
    <w:multiLevelType w:val="multilevel"/>
    <w:tmpl w:val="9302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334B85"/>
    <w:multiLevelType w:val="hybridMultilevel"/>
    <w:tmpl w:val="DAE2BA3E"/>
    <w:lvl w:ilvl="0" w:tplc="68C2532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DA4931"/>
    <w:multiLevelType w:val="multilevel"/>
    <w:tmpl w:val="4682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04695"/>
    <w:multiLevelType w:val="multilevel"/>
    <w:tmpl w:val="2396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5A0E03"/>
    <w:multiLevelType w:val="multilevel"/>
    <w:tmpl w:val="6940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0289A"/>
    <w:multiLevelType w:val="multilevel"/>
    <w:tmpl w:val="A9EA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645491"/>
    <w:multiLevelType w:val="multilevel"/>
    <w:tmpl w:val="F6C4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8C5A71"/>
    <w:multiLevelType w:val="multilevel"/>
    <w:tmpl w:val="B012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864E0B"/>
    <w:multiLevelType w:val="multilevel"/>
    <w:tmpl w:val="9C9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EF5B75"/>
    <w:multiLevelType w:val="multilevel"/>
    <w:tmpl w:val="E3AA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AD0F6B"/>
    <w:multiLevelType w:val="multilevel"/>
    <w:tmpl w:val="7C68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0F5770"/>
    <w:multiLevelType w:val="multilevel"/>
    <w:tmpl w:val="7AF0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0B17B0"/>
    <w:multiLevelType w:val="multilevel"/>
    <w:tmpl w:val="FBA2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356074"/>
    <w:multiLevelType w:val="hybridMultilevel"/>
    <w:tmpl w:val="342C0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F7017"/>
    <w:multiLevelType w:val="multilevel"/>
    <w:tmpl w:val="F162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447CA1"/>
    <w:multiLevelType w:val="hybridMultilevel"/>
    <w:tmpl w:val="E69C8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F7A3D"/>
    <w:multiLevelType w:val="multilevel"/>
    <w:tmpl w:val="B066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6656FB"/>
    <w:multiLevelType w:val="multilevel"/>
    <w:tmpl w:val="5B62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D73097"/>
    <w:multiLevelType w:val="hybridMultilevel"/>
    <w:tmpl w:val="FEA83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11D96"/>
    <w:multiLevelType w:val="multilevel"/>
    <w:tmpl w:val="55BC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B94CF9"/>
    <w:multiLevelType w:val="multilevel"/>
    <w:tmpl w:val="6A76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2506FA"/>
    <w:multiLevelType w:val="multilevel"/>
    <w:tmpl w:val="9E5A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A86B57"/>
    <w:multiLevelType w:val="multilevel"/>
    <w:tmpl w:val="7D7A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34680F"/>
    <w:multiLevelType w:val="hybridMultilevel"/>
    <w:tmpl w:val="CD8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31839"/>
    <w:multiLevelType w:val="multilevel"/>
    <w:tmpl w:val="015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060579"/>
    <w:multiLevelType w:val="multilevel"/>
    <w:tmpl w:val="45CE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EA1DE5"/>
    <w:multiLevelType w:val="multilevel"/>
    <w:tmpl w:val="FDD2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9761568">
    <w:abstractNumId w:val="20"/>
  </w:num>
  <w:num w:numId="2" w16cid:durableId="1941208896">
    <w:abstractNumId w:val="22"/>
  </w:num>
  <w:num w:numId="3" w16cid:durableId="1952084627">
    <w:abstractNumId w:val="3"/>
  </w:num>
  <w:num w:numId="4" w16cid:durableId="967589712">
    <w:abstractNumId w:val="8"/>
  </w:num>
  <w:num w:numId="5" w16cid:durableId="953100504">
    <w:abstractNumId w:val="1"/>
  </w:num>
  <w:num w:numId="6" w16cid:durableId="1504396337">
    <w:abstractNumId w:val="2"/>
  </w:num>
  <w:num w:numId="7" w16cid:durableId="1171599965">
    <w:abstractNumId w:val="9"/>
  </w:num>
  <w:num w:numId="8" w16cid:durableId="49152158">
    <w:abstractNumId w:val="19"/>
  </w:num>
  <w:num w:numId="9" w16cid:durableId="808548151">
    <w:abstractNumId w:val="25"/>
  </w:num>
  <w:num w:numId="10" w16cid:durableId="1486968029">
    <w:abstractNumId w:val="28"/>
  </w:num>
  <w:num w:numId="11" w16cid:durableId="1318653351">
    <w:abstractNumId w:val="24"/>
  </w:num>
  <w:num w:numId="12" w16cid:durableId="1043754077">
    <w:abstractNumId w:val="12"/>
  </w:num>
  <w:num w:numId="13" w16cid:durableId="1045834489">
    <w:abstractNumId w:val="29"/>
  </w:num>
  <w:num w:numId="14" w16cid:durableId="1716852476">
    <w:abstractNumId w:val="10"/>
  </w:num>
  <w:num w:numId="15" w16cid:durableId="657657231">
    <w:abstractNumId w:val="27"/>
  </w:num>
  <w:num w:numId="16" w16cid:durableId="1234777629">
    <w:abstractNumId w:val="23"/>
  </w:num>
  <w:num w:numId="17" w16cid:durableId="1423723716">
    <w:abstractNumId w:val="6"/>
  </w:num>
  <w:num w:numId="18" w16cid:durableId="21707724">
    <w:abstractNumId w:val="11"/>
  </w:num>
  <w:num w:numId="19" w16cid:durableId="1770617419">
    <w:abstractNumId w:val="13"/>
  </w:num>
  <w:num w:numId="20" w16cid:durableId="1177429567">
    <w:abstractNumId w:val="14"/>
  </w:num>
  <w:num w:numId="21" w16cid:durableId="468517575">
    <w:abstractNumId w:val="0"/>
  </w:num>
  <w:num w:numId="22" w16cid:durableId="858855664">
    <w:abstractNumId w:val="18"/>
  </w:num>
  <w:num w:numId="23" w16cid:durableId="1731079193">
    <w:abstractNumId w:val="21"/>
  </w:num>
  <w:num w:numId="24" w16cid:durableId="43647355">
    <w:abstractNumId w:val="26"/>
  </w:num>
  <w:num w:numId="25" w16cid:durableId="1385332334">
    <w:abstractNumId w:val="4"/>
  </w:num>
  <w:num w:numId="26" w16cid:durableId="174614315">
    <w:abstractNumId w:val="17"/>
  </w:num>
  <w:num w:numId="27" w16cid:durableId="1026296784">
    <w:abstractNumId w:val="7"/>
  </w:num>
  <w:num w:numId="28" w16cid:durableId="1607153631">
    <w:abstractNumId w:val="15"/>
  </w:num>
  <w:num w:numId="29" w16cid:durableId="1771000833">
    <w:abstractNumId w:val="5"/>
  </w:num>
  <w:num w:numId="30" w16cid:durableId="593057669">
    <w:abstractNumId w:val="16"/>
  </w:num>
  <w:num w:numId="31" w16cid:durableId="97996603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73"/>
    <w:rsid w:val="00015DAE"/>
    <w:rsid w:val="00022628"/>
    <w:rsid w:val="000246BB"/>
    <w:rsid w:val="0003791E"/>
    <w:rsid w:val="00084DD5"/>
    <w:rsid w:val="000C75BA"/>
    <w:rsid w:val="000D419B"/>
    <w:rsid w:val="000D57FE"/>
    <w:rsid w:val="000E58A6"/>
    <w:rsid w:val="001022B5"/>
    <w:rsid w:val="00104146"/>
    <w:rsid w:val="001147E1"/>
    <w:rsid w:val="00133918"/>
    <w:rsid w:val="001346D0"/>
    <w:rsid w:val="00134A6D"/>
    <w:rsid w:val="001820AC"/>
    <w:rsid w:val="0018306B"/>
    <w:rsid w:val="001A5DAF"/>
    <w:rsid w:val="001B03DE"/>
    <w:rsid w:val="001B5917"/>
    <w:rsid w:val="001C4928"/>
    <w:rsid w:val="001D5DAD"/>
    <w:rsid w:val="00207872"/>
    <w:rsid w:val="00207C14"/>
    <w:rsid w:val="0021200B"/>
    <w:rsid w:val="00212605"/>
    <w:rsid w:val="002175F7"/>
    <w:rsid w:val="00225797"/>
    <w:rsid w:val="00231487"/>
    <w:rsid w:val="00236225"/>
    <w:rsid w:val="00236BAB"/>
    <w:rsid w:val="002378C1"/>
    <w:rsid w:val="002441C9"/>
    <w:rsid w:val="002523A5"/>
    <w:rsid w:val="002547C5"/>
    <w:rsid w:val="00255A4B"/>
    <w:rsid w:val="00262009"/>
    <w:rsid w:val="00272BDB"/>
    <w:rsid w:val="002A0DFB"/>
    <w:rsid w:val="002D026E"/>
    <w:rsid w:val="002F6A96"/>
    <w:rsid w:val="00315335"/>
    <w:rsid w:val="00316D2C"/>
    <w:rsid w:val="003235D7"/>
    <w:rsid w:val="00334DF9"/>
    <w:rsid w:val="00341CA1"/>
    <w:rsid w:val="003548FC"/>
    <w:rsid w:val="00377EA9"/>
    <w:rsid w:val="0038644A"/>
    <w:rsid w:val="00390368"/>
    <w:rsid w:val="00393127"/>
    <w:rsid w:val="003A0DF3"/>
    <w:rsid w:val="003A1A2C"/>
    <w:rsid w:val="003A67BC"/>
    <w:rsid w:val="003A6EC6"/>
    <w:rsid w:val="003A7655"/>
    <w:rsid w:val="003D08D2"/>
    <w:rsid w:val="003D11E3"/>
    <w:rsid w:val="003D1E87"/>
    <w:rsid w:val="003D22CC"/>
    <w:rsid w:val="003D2B94"/>
    <w:rsid w:val="004052DD"/>
    <w:rsid w:val="0041609F"/>
    <w:rsid w:val="004320CD"/>
    <w:rsid w:val="004446D4"/>
    <w:rsid w:val="00445E2A"/>
    <w:rsid w:val="00455F40"/>
    <w:rsid w:val="004563A3"/>
    <w:rsid w:val="00470771"/>
    <w:rsid w:val="004874C1"/>
    <w:rsid w:val="00497649"/>
    <w:rsid w:val="004A0040"/>
    <w:rsid w:val="004A75BF"/>
    <w:rsid w:val="004C1613"/>
    <w:rsid w:val="004C1F8D"/>
    <w:rsid w:val="004C332D"/>
    <w:rsid w:val="004E2C48"/>
    <w:rsid w:val="004E6F87"/>
    <w:rsid w:val="00516493"/>
    <w:rsid w:val="00520238"/>
    <w:rsid w:val="005226A4"/>
    <w:rsid w:val="00552068"/>
    <w:rsid w:val="00553B33"/>
    <w:rsid w:val="0055408D"/>
    <w:rsid w:val="0056298C"/>
    <w:rsid w:val="005737D1"/>
    <w:rsid w:val="0058166B"/>
    <w:rsid w:val="00582790"/>
    <w:rsid w:val="005909FA"/>
    <w:rsid w:val="005A4100"/>
    <w:rsid w:val="005C2F59"/>
    <w:rsid w:val="005C5965"/>
    <w:rsid w:val="005C7FBC"/>
    <w:rsid w:val="005E06CC"/>
    <w:rsid w:val="00602C0B"/>
    <w:rsid w:val="00605353"/>
    <w:rsid w:val="0065737D"/>
    <w:rsid w:val="006804C1"/>
    <w:rsid w:val="00684D09"/>
    <w:rsid w:val="00690994"/>
    <w:rsid w:val="006A339B"/>
    <w:rsid w:val="006B5E67"/>
    <w:rsid w:val="006B73A3"/>
    <w:rsid w:val="006C0277"/>
    <w:rsid w:val="006E64CD"/>
    <w:rsid w:val="00705B6A"/>
    <w:rsid w:val="00707675"/>
    <w:rsid w:val="00715626"/>
    <w:rsid w:val="00717C55"/>
    <w:rsid w:val="007433AE"/>
    <w:rsid w:val="00773CE8"/>
    <w:rsid w:val="0077422A"/>
    <w:rsid w:val="007903DB"/>
    <w:rsid w:val="00796CAA"/>
    <w:rsid w:val="007B14BA"/>
    <w:rsid w:val="007D3B60"/>
    <w:rsid w:val="007E7BFD"/>
    <w:rsid w:val="007F3717"/>
    <w:rsid w:val="007F5762"/>
    <w:rsid w:val="00840DE2"/>
    <w:rsid w:val="00843FE0"/>
    <w:rsid w:val="0084401D"/>
    <w:rsid w:val="008459FC"/>
    <w:rsid w:val="008665E6"/>
    <w:rsid w:val="00877191"/>
    <w:rsid w:val="00887040"/>
    <w:rsid w:val="008906E4"/>
    <w:rsid w:val="008A0649"/>
    <w:rsid w:val="008A3D0D"/>
    <w:rsid w:val="008A5C6C"/>
    <w:rsid w:val="008C22FF"/>
    <w:rsid w:val="008C637C"/>
    <w:rsid w:val="008D6E09"/>
    <w:rsid w:val="008E5BBD"/>
    <w:rsid w:val="008F33C0"/>
    <w:rsid w:val="009065EE"/>
    <w:rsid w:val="00920C39"/>
    <w:rsid w:val="009473B9"/>
    <w:rsid w:val="00951E40"/>
    <w:rsid w:val="009659F1"/>
    <w:rsid w:val="00972D53"/>
    <w:rsid w:val="00981844"/>
    <w:rsid w:val="0098328F"/>
    <w:rsid w:val="009906B6"/>
    <w:rsid w:val="0099190F"/>
    <w:rsid w:val="0099790A"/>
    <w:rsid w:val="009A19F1"/>
    <w:rsid w:val="009B14B8"/>
    <w:rsid w:val="009D60CB"/>
    <w:rsid w:val="009D728B"/>
    <w:rsid w:val="009E1EE4"/>
    <w:rsid w:val="009E2140"/>
    <w:rsid w:val="009E3C15"/>
    <w:rsid w:val="009F4604"/>
    <w:rsid w:val="009F523A"/>
    <w:rsid w:val="009F55A9"/>
    <w:rsid w:val="00A227CA"/>
    <w:rsid w:val="00A27F5F"/>
    <w:rsid w:val="00A41237"/>
    <w:rsid w:val="00A468CB"/>
    <w:rsid w:val="00A50980"/>
    <w:rsid w:val="00A5401E"/>
    <w:rsid w:val="00A75FC8"/>
    <w:rsid w:val="00A94473"/>
    <w:rsid w:val="00A9616B"/>
    <w:rsid w:val="00AA07D1"/>
    <w:rsid w:val="00AC4377"/>
    <w:rsid w:val="00B0144E"/>
    <w:rsid w:val="00B37C3E"/>
    <w:rsid w:val="00B42C29"/>
    <w:rsid w:val="00B843DF"/>
    <w:rsid w:val="00BC5ACC"/>
    <w:rsid w:val="00BD4B39"/>
    <w:rsid w:val="00BD6FDC"/>
    <w:rsid w:val="00BE00EB"/>
    <w:rsid w:val="00BE7363"/>
    <w:rsid w:val="00C211A5"/>
    <w:rsid w:val="00C22744"/>
    <w:rsid w:val="00C26B00"/>
    <w:rsid w:val="00C33284"/>
    <w:rsid w:val="00C40746"/>
    <w:rsid w:val="00C4087F"/>
    <w:rsid w:val="00C91C4C"/>
    <w:rsid w:val="00C93D67"/>
    <w:rsid w:val="00C95E29"/>
    <w:rsid w:val="00C9786C"/>
    <w:rsid w:val="00CA27EF"/>
    <w:rsid w:val="00CB2BC4"/>
    <w:rsid w:val="00CB654A"/>
    <w:rsid w:val="00CB7A40"/>
    <w:rsid w:val="00CC580A"/>
    <w:rsid w:val="00CE0D71"/>
    <w:rsid w:val="00CE1C8F"/>
    <w:rsid w:val="00CE3C85"/>
    <w:rsid w:val="00CF1102"/>
    <w:rsid w:val="00D05BA5"/>
    <w:rsid w:val="00D220C2"/>
    <w:rsid w:val="00D23E5E"/>
    <w:rsid w:val="00D36C0B"/>
    <w:rsid w:val="00D735F2"/>
    <w:rsid w:val="00D76AF2"/>
    <w:rsid w:val="00D8136A"/>
    <w:rsid w:val="00D84095"/>
    <w:rsid w:val="00D93206"/>
    <w:rsid w:val="00DD1D18"/>
    <w:rsid w:val="00DE4DF4"/>
    <w:rsid w:val="00DF5A9A"/>
    <w:rsid w:val="00DF60A9"/>
    <w:rsid w:val="00E04FE2"/>
    <w:rsid w:val="00E66A17"/>
    <w:rsid w:val="00E71EAB"/>
    <w:rsid w:val="00EB12CF"/>
    <w:rsid w:val="00EB21AE"/>
    <w:rsid w:val="00ED3CA8"/>
    <w:rsid w:val="00EF5D02"/>
    <w:rsid w:val="00EF717C"/>
    <w:rsid w:val="00F06657"/>
    <w:rsid w:val="00F11156"/>
    <w:rsid w:val="00F1334E"/>
    <w:rsid w:val="00F17CF2"/>
    <w:rsid w:val="00F412C7"/>
    <w:rsid w:val="00F64DA5"/>
    <w:rsid w:val="00F7714D"/>
    <w:rsid w:val="00F83773"/>
    <w:rsid w:val="00FA078C"/>
    <w:rsid w:val="00FB15F7"/>
    <w:rsid w:val="00FC0F65"/>
    <w:rsid w:val="00FC358C"/>
    <w:rsid w:val="00FC61AA"/>
    <w:rsid w:val="00FC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91E46"/>
  <w15:chartTrackingRefBased/>
  <w15:docId w15:val="{53BF18E2-5191-449B-B7C7-E28CEF5E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7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2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B94"/>
  </w:style>
  <w:style w:type="paragraph" w:styleId="Footer">
    <w:name w:val="footer"/>
    <w:basedOn w:val="Normal"/>
    <w:link w:val="FooterChar"/>
    <w:uiPriority w:val="99"/>
    <w:unhideWhenUsed/>
    <w:rsid w:val="003D2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B94"/>
  </w:style>
  <w:style w:type="paragraph" w:customStyle="1" w:styleId="Default">
    <w:name w:val="Default"/>
    <w:rsid w:val="006573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C2A2-FC64-4AD5-8787-22747CDA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BIRKHAMSHAW, Amie 8368</dc:creator>
  <cp:keywords/>
  <dc:description/>
  <cp:lastModifiedBy>BIRKHAMSHAW, Amie 8368</cp:lastModifiedBy>
  <cp:revision>3</cp:revision>
  <dcterms:created xsi:type="dcterms:W3CDTF">2025-10-14T11:21:00Z</dcterms:created>
  <dcterms:modified xsi:type="dcterms:W3CDTF">2025-10-24T15:30:00Z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2025-08-26T08:19:19Z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a40af995-ae3d-4f4c-a70a-3ecfc2baa25e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</Properties>
</file>