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5225" w14:textId="77777777" w:rsidR="000E3B5E" w:rsidRPr="000E3B5E" w:rsidRDefault="000E3B5E" w:rsidP="000E3B5E">
      <w:r w:rsidRPr="000E3B5E">
        <w:t xml:space="preserve">Dear Member of the public </w:t>
      </w:r>
    </w:p>
    <w:p w14:paraId="206C19C7" w14:textId="334E0CFA" w:rsidR="000E3B5E" w:rsidRPr="000E3B5E" w:rsidRDefault="000E3B5E" w:rsidP="000E3B5E">
      <w:r w:rsidRPr="000E3B5E">
        <w:t>I write in reply to your request for information under the Freedom of Information Act 2000, our reference number FOI</w:t>
      </w:r>
      <w:r w:rsidR="00C74BE7">
        <w:t>10</w:t>
      </w:r>
      <w:r>
        <w:t>26</w:t>
      </w:r>
      <w:r w:rsidRPr="000E3B5E">
        <w:t xml:space="preserve">. </w:t>
      </w:r>
    </w:p>
    <w:p w14:paraId="6E25B3F1" w14:textId="77777777" w:rsidR="000E3B5E" w:rsidRPr="000E3B5E" w:rsidRDefault="000E3B5E" w:rsidP="000E3B5E">
      <w:r w:rsidRPr="000E3B5E">
        <w:t xml:space="preserve">I am required by the Freedom of Information Act to handle all requests in a manner that is blind to the identity of the requestor. Any information released in response to a request is regarded as being published and is therefore in the public domain without caveat. </w:t>
      </w:r>
    </w:p>
    <w:p w14:paraId="23047DF7" w14:textId="77777777" w:rsidR="000E3B5E" w:rsidRPr="000E3B5E" w:rsidRDefault="000E3B5E" w:rsidP="000E3B5E">
      <w:r w:rsidRPr="000E3B5E">
        <w:t xml:space="preserve">You have requested the following information: </w:t>
      </w:r>
    </w:p>
    <w:p w14:paraId="27FF7530" w14:textId="77777777" w:rsidR="00C74BE7" w:rsidRDefault="000E3B5E" w:rsidP="000E3B5E">
      <w:pPr>
        <w:rPr>
          <w:b/>
          <w:bCs/>
        </w:rPr>
      </w:pPr>
      <w:r w:rsidRPr="000E3B5E">
        <w:rPr>
          <w:b/>
          <w:bCs/>
        </w:rPr>
        <w:t xml:space="preserve">FOI Request </w:t>
      </w:r>
    </w:p>
    <w:p w14:paraId="006D098B" w14:textId="77777777" w:rsidR="00C74BE7" w:rsidRPr="00C74BE7" w:rsidRDefault="00C74BE7" w:rsidP="00C74BE7">
      <w:r w:rsidRPr="00C74BE7">
        <w:t>I would be grateful if you could provide the following information regarding the Office of the Police and Crime Commissioner Complaint Resolution Team (OPCCRT).</w:t>
      </w:r>
    </w:p>
    <w:p w14:paraId="7213D057" w14:textId="77777777" w:rsidR="00C74BE7" w:rsidRPr="00C74BE7" w:rsidRDefault="00C74BE7" w:rsidP="00C74BE7">
      <w:pPr>
        <w:rPr>
          <w:b/>
          <w:bCs/>
        </w:rPr>
      </w:pPr>
      <w:r w:rsidRPr="00C74BE7">
        <w:rPr>
          <w:b/>
          <w:bCs/>
        </w:rPr>
        <w:t> 1. Complaint recording threshold</w:t>
      </w:r>
    </w:p>
    <w:p w14:paraId="32DBFA13" w14:textId="77777777" w:rsidR="00C74BE7" w:rsidRPr="00C74BE7" w:rsidRDefault="00C74BE7" w:rsidP="00C74BE7">
      <w:r w:rsidRPr="00C74BE7">
        <w:t>Please state the criteria used by the OPCCRT to determine:</w:t>
      </w:r>
    </w:p>
    <w:p w14:paraId="1C81AD84" w14:textId="77777777" w:rsidR="00C74BE7" w:rsidRPr="00C74BE7" w:rsidRDefault="00C74BE7" w:rsidP="00C74BE7">
      <w:pPr>
        <w:ind w:left="720"/>
      </w:pPr>
      <w:r w:rsidRPr="00C74BE7">
        <w:t>a) when a matter must be formally recorded as a complaint; and</w:t>
      </w:r>
    </w:p>
    <w:p w14:paraId="35EA4FA2" w14:textId="77777777" w:rsidR="00C74BE7" w:rsidRPr="00C74BE7" w:rsidRDefault="00C74BE7" w:rsidP="00C74BE7">
      <w:pPr>
        <w:ind w:left="720"/>
      </w:pPr>
      <w:r w:rsidRPr="00C74BE7">
        <w:t>b) when a matter may be resolved without formal complaint recording.</w:t>
      </w:r>
    </w:p>
    <w:p w14:paraId="78FDD9E8" w14:textId="77777777" w:rsidR="00C74BE7" w:rsidRPr="00C74BE7" w:rsidRDefault="00C74BE7" w:rsidP="00C74BE7">
      <w:pPr>
        <w:rPr>
          <w:b/>
          <w:bCs/>
        </w:rPr>
      </w:pPr>
      <w:r w:rsidRPr="00C74BE7">
        <w:rPr>
          <w:b/>
          <w:bCs/>
        </w:rPr>
        <w:t> 2. Consideration of vulnerability</w:t>
      </w:r>
    </w:p>
    <w:p w14:paraId="614CC4D8" w14:textId="77777777" w:rsidR="00C74BE7" w:rsidRPr="00C74BE7" w:rsidRDefault="00C74BE7" w:rsidP="00C74BE7">
      <w:r w:rsidRPr="00C74BE7">
        <w:t>Please state what steps OPCCRT staff are required to take, under current policy or guidance, to identify and take account of vulnerability, disability, or mental health factors when assessing complaints at the triage stage.</w:t>
      </w:r>
    </w:p>
    <w:p w14:paraId="592886C2" w14:textId="77777777" w:rsidR="00C74BE7" w:rsidRPr="00C74BE7" w:rsidRDefault="00C74BE7" w:rsidP="00C74BE7">
      <w:pPr>
        <w:rPr>
          <w:b/>
          <w:bCs/>
        </w:rPr>
      </w:pPr>
      <w:r w:rsidRPr="00C74BE7">
        <w:rPr>
          <w:b/>
          <w:bCs/>
        </w:rPr>
        <w:t> 3. Safeguards against premature closure</w:t>
      </w:r>
    </w:p>
    <w:p w14:paraId="1790ED4F" w14:textId="77777777" w:rsidR="00C74BE7" w:rsidRPr="00C74BE7" w:rsidRDefault="00C74BE7" w:rsidP="00C74BE7">
      <w:r w:rsidRPr="00C74BE7">
        <w:t>Please state what safeguards, supervisory checks, or quality assurance processes are in place to ensure that complaints raising potential concerns about police conduct or service are not inappropriately filtered out or prematurely closed at initial assessment.</w:t>
      </w:r>
    </w:p>
    <w:p w14:paraId="2DECA8B9" w14:textId="77777777" w:rsidR="00C74BE7" w:rsidRPr="00C74BE7" w:rsidRDefault="00C74BE7" w:rsidP="00C74BE7">
      <w:pPr>
        <w:rPr>
          <w:b/>
          <w:bCs/>
        </w:rPr>
      </w:pPr>
      <w:r w:rsidRPr="00C74BE7">
        <w:rPr>
          <w:b/>
          <w:bCs/>
        </w:rPr>
        <w:t> 4. Domestic abuse complaint handling</w:t>
      </w:r>
    </w:p>
    <w:p w14:paraId="1C78F86A" w14:textId="77777777" w:rsidR="00C74BE7" w:rsidRPr="00C74BE7" w:rsidRDefault="00C74BE7" w:rsidP="00C74BE7">
      <w:r w:rsidRPr="00C74BE7">
        <w:t>Please state whether OPCCRT staff are provided with any specific guidance, prompts, or requirements when handling complaints involving domestic abuse victims, and if so, summarise the key requirements.</w:t>
      </w:r>
    </w:p>
    <w:p w14:paraId="67DEBF11" w14:textId="77777777" w:rsidR="00C74BE7" w:rsidRPr="00C74BE7" w:rsidRDefault="00C74BE7" w:rsidP="00C74BE7">
      <w:pPr>
        <w:rPr>
          <w:b/>
          <w:bCs/>
        </w:rPr>
      </w:pPr>
      <w:r w:rsidRPr="00C74BE7">
        <w:rPr>
          <w:b/>
          <w:bCs/>
        </w:rPr>
        <w:t> 5. Training provided to OPCCRT staff</w:t>
      </w:r>
    </w:p>
    <w:p w14:paraId="3BD882CE" w14:textId="77777777" w:rsidR="00C74BE7" w:rsidRPr="00C74BE7" w:rsidRDefault="00C74BE7" w:rsidP="00C74BE7">
      <w:r w:rsidRPr="00C74BE7">
        <w:t>Please state what training OPCCRT staff receive (within the last three years) in relation to:</w:t>
      </w:r>
    </w:p>
    <w:p w14:paraId="7C1EEFC0" w14:textId="77777777" w:rsidR="00C74BE7" w:rsidRPr="00C74BE7" w:rsidRDefault="00C74BE7" w:rsidP="00C74BE7">
      <w:pPr>
        <w:spacing w:after="0"/>
      </w:pPr>
      <w:r w:rsidRPr="00C74BE7">
        <w:t xml:space="preserve"> • domestic abuse </w:t>
      </w:r>
      <w:proofErr w:type="gramStart"/>
      <w:r w:rsidRPr="00C74BE7">
        <w:t>awareness;</w:t>
      </w:r>
      <w:proofErr w:type="gramEnd"/>
    </w:p>
    <w:p w14:paraId="49E08D90" w14:textId="77777777" w:rsidR="00C74BE7" w:rsidRPr="00C74BE7" w:rsidRDefault="00C74BE7" w:rsidP="00C74BE7">
      <w:pPr>
        <w:spacing w:after="0"/>
      </w:pPr>
      <w:r w:rsidRPr="00C74BE7">
        <w:t xml:space="preserve"> • trauma-informed </w:t>
      </w:r>
      <w:proofErr w:type="gramStart"/>
      <w:r w:rsidRPr="00C74BE7">
        <w:t>practice;</w:t>
      </w:r>
      <w:proofErr w:type="gramEnd"/>
    </w:p>
    <w:p w14:paraId="46A3AE0B" w14:textId="77777777" w:rsidR="00C74BE7" w:rsidRPr="00C74BE7" w:rsidRDefault="00C74BE7" w:rsidP="00C74BE7">
      <w:pPr>
        <w:spacing w:after="0"/>
      </w:pPr>
      <w:r w:rsidRPr="00C74BE7">
        <w:t xml:space="preserve"> • vulnerability or </w:t>
      </w:r>
      <w:proofErr w:type="gramStart"/>
      <w:r w:rsidRPr="00C74BE7">
        <w:t>safeguarding;</w:t>
      </w:r>
      <w:proofErr w:type="gramEnd"/>
    </w:p>
    <w:p w14:paraId="1058C8F2" w14:textId="77777777" w:rsidR="00C74BE7" w:rsidRDefault="00C74BE7" w:rsidP="00C74BE7">
      <w:pPr>
        <w:spacing w:after="0"/>
      </w:pPr>
      <w:r w:rsidRPr="00C74BE7">
        <w:t> • Equality Act duties in complaint handling.</w:t>
      </w:r>
    </w:p>
    <w:p w14:paraId="4E9924BA" w14:textId="77777777" w:rsidR="00C74BE7" w:rsidRPr="00C74BE7" w:rsidRDefault="00C74BE7" w:rsidP="00C74BE7">
      <w:pPr>
        <w:spacing w:after="0"/>
      </w:pPr>
    </w:p>
    <w:p w14:paraId="5A87CA04" w14:textId="77777777" w:rsidR="00C74BE7" w:rsidRPr="00C74BE7" w:rsidRDefault="00C74BE7" w:rsidP="00C74BE7">
      <w:pPr>
        <w:rPr>
          <w:b/>
          <w:bCs/>
        </w:rPr>
      </w:pPr>
      <w:r w:rsidRPr="00C74BE7">
        <w:rPr>
          <w:b/>
          <w:bCs/>
        </w:rPr>
        <w:t> 6. Beacon victim support escalation</w:t>
      </w:r>
    </w:p>
    <w:p w14:paraId="79E06380" w14:textId="77777777" w:rsidR="00C74BE7" w:rsidRPr="00C74BE7" w:rsidRDefault="00C74BE7" w:rsidP="00C74BE7">
      <w:r w:rsidRPr="00C74BE7">
        <w:t>Please state what the OPCC’s general process is when a victim reports that the commissioned Beacon service has declined or withdrawn support, including whether any escalation or alternative support pathway is available under current arrangements.</w:t>
      </w:r>
    </w:p>
    <w:p w14:paraId="30561944" w14:textId="77777777" w:rsidR="00C74BE7" w:rsidRPr="00C74BE7" w:rsidRDefault="00C74BE7" w:rsidP="00C74BE7">
      <w:pPr>
        <w:rPr>
          <w:b/>
          <w:bCs/>
        </w:rPr>
      </w:pPr>
      <w:r w:rsidRPr="00C74BE7">
        <w:rPr>
          <w:b/>
          <w:bCs/>
        </w:rPr>
        <w:lastRenderedPageBreak/>
        <w:t> 7. Victims’ Right to Review (VRR)</w:t>
      </w:r>
    </w:p>
    <w:p w14:paraId="06F4413A" w14:textId="77777777" w:rsidR="00C74BE7" w:rsidRPr="00C74BE7" w:rsidRDefault="00C74BE7" w:rsidP="00C74BE7">
      <w:r w:rsidRPr="00C74BE7">
        <w:t>Please state what guidance OPCCRT staff are given regarding when it is appropriate to signpost or refer matters to the Victims’ Right to Review process.</w:t>
      </w:r>
    </w:p>
    <w:p w14:paraId="63770058" w14:textId="77777777" w:rsidR="00C74BE7" w:rsidRPr="00C74BE7" w:rsidRDefault="00C74BE7" w:rsidP="00C74BE7">
      <w:pPr>
        <w:rPr>
          <w:b/>
          <w:bCs/>
        </w:rPr>
      </w:pPr>
      <w:r w:rsidRPr="00C74BE7">
        <w:rPr>
          <w:b/>
          <w:bCs/>
        </w:rPr>
        <w:t> 8. Interaction with ongoing police investigations</w:t>
      </w:r>
    </w:p>
    <w:p w14:paraId="4976818B" w14:textId="77777777" w:rsidR="00C74BE7" w:rsidRPr="00C74BE7" w:rsidRDefault="00C74BE7" w:rsidP="00C74BE7">
      <w:r w:rsidRPr="00C74BE7">
        <w:t>Please state what policies, guidance or safeguards are in place to ensure that decisions by the OPCCRT to resolve or not formally record complaints at the triage stage do not adversely affect or overlook matters that may require consideration within an ongoing or potential criminal investigation.</w:t>
      </w:r>
    </w:p>
    <w:p w14:paraId="638E7017" w14:textId="77777777" w:rsidR="00C74BE7" w:rsidRPr="00C74BE7" w:rsidRDefault="00C74BE7" w:rsidP="00C74BE7">
      <w:r w:rsidRPr="00C74BE7">
        <w:t>If any information is withheld, please specify the exemption relied upon and provide the public interest reasoning where applicable.</w:t>
      </w:r>
    </w:p>
    <w:p w14:paraId="0BC6466F" w14:textId="77777777" w:rsidR="00C74BE7" w:rsidRDefault="00655DE6" w:rsidP="000E3B5E">
      <w:pPr>
        <w:rPr>
          <w:b/>
          <w:bCs/>
        </w:rPr>
      </w:pPr>
      <w:r w:rsidRPr="00655DE6">
        <w:br/>
      </w:r>
      <w:r w:rsidR="000E3B5E" w:rsidRPr="000E3B5E">
        <w:rPr>
          <w:b/>
          <w:bCs/>
        </w:rPr>
        <w:t>FOI Response</w:t>
      </w:r>
    </w:p>
    <w:p w14:paraId="6B6DFCCC" w14:textId="77777777" w:rsidR="00C74BE7" w:rsidRPr="00C74BE7" w:rsidRDefault="00C74BE7" w:rsidP="00C74BE7">
      <w:pPr>
        <w:rPr>
          <w:b/>
          <w:bCs/>
        </w:rPr>
      </w:pPr>
      <w:r w:rsidRPr="00C74BE7">
        <w:rPr>
          <w:b/>
          <w:bCs/>
        </w:rPr>
        <w:t xml:space="preserve"> 1. Complaint recording threshold </w:t>
      </w:r>
    </w:p>
    <w:p w14:paraId="75880821" w14:textId="77777777" w:rsidR="00C74BE7" w:rsidRPr="00C74BE7" w:rsidRDefault="00C74BE7" w:rsidP="00C74BE7">
      <w:r w:rsidRPr="00C74BE7">
        <w:t xml:space="preserve">a. When a matter must be formally recorded as a complaint </w:t>
      </w:r>
    </w:p>
    <w:p w14:paraId="7EACDB16" w14:textId="77777777" w:rsidR="00C74BE7" w:rsidRPr="00C74BE7" w:rsidRDefault="00C74BE7" w:rsidP="00C74BE7">
      <w:r w:rsidRPr="00C74BE7">
        <w:t xml:space="preserve">CPCT follows the statutory framework set out in the Police Reform Act 2002 and the IOPC Statutory Guidance on the Police Complaints System when determining whether a matter must be recorded. A complaint must be formally recorded when: </w:t>
      </w:r>
    </w:p>
    <w:p w14:paraId="485DD9FF" w14:textId="77777777" w:rsidR="00C74BE7" w:rsidRPr="00C74BE7" w:rsidRDefault="00C74BE7" w:rsidP="00C74BE7">
      <w:pPr>
        <w:ind w:left="720"/>
      </w:pPr>
      <w:r w:rsidRPr="00C74BE7">
        <w:t xml:space="preserve">• It expresses dissatisfaction about the service provided by Hertfordshire Constabulary, or the conduct of a person serving with the force, that meets the definition of a complaint under the Act. </w:t>
      </w:r>
    </w:p>
    <w:p w14:paraId="5380E0FB" w14:textId="77777777" w:rsidR="00C74BE7" w:rsidRPr="00C74BE7" w:rsidRDefault="00C74BE7" w:rsidP="00C74BE7">
      <w:pPr>
        <w:ind w:left="720"/>
      </w:pPr>
      <w:r w:rsidRPr="00C74BE7">
        <w:t xml:space="preserve">• The issue cannot be reasonably resolved through initial handling, or the complainant requests formal recording from the outset. </w:t>
      </w:r>
    </w:p>
    <w:p w14:paraId="1243D2C1" w14:textId="77777777" w:rsidR="00C74BE7" w:rsidRPr="00C74BE7" w:rsidRDefault="00C74BE7" w:rsidP="00C74BE7">
      <w:pPr>
        <w:ind w:left="720"/>
      </w:pPr>
      <w:r w:rsidRPr="00C74BE7">
        <w:t xml:space="preserve">• The substance of the allegation matches an IOPC category assessed as requiring Schedule 3 handling under the national categorisation framework. </w:t>
      </w:r>
    </w:p>
    <w:p w14:paraId="4EF8FA39" w14:textId="77777777" w:rsidR="00C74BE7" w:rsidRPr="00C74BE7" w:rsidRDefault="00C74BE7" w:rsidP="00C74BE7">
      <w:r w:rsidRPr="00C74BE7">
        <w:t xml:space="preserve">The OPCC uses the IOPC triage categories to ensure consistent thresholds for recording. These categories include Low, Medium and High severity assessment bands, as set out in the Triage Document CRT PSD – IOPC Categories (attached). High severity matters, including discriminatory behaviour, corruption, sexual misconduct and serious use of force, must be recorded and referred to the Professional Standards Department. </w:t>
      </w:r>
    </w:p>
    <w:p w14:paraId="40A43AD1" w14:textId="77777777" w:rsidR="00C74BE7" w:rsidRPr="00C74BE7" w:rsidRDefault="00C74BE7" w:rsidP="00C74BE7">
      <w:r w:rsidRPr="00C74BE7">
        <w:t xml:space="preserve">b. When a matter may be resolved without formal recording </w:t>
      </w:r>
    </w:p>
    <w:p w14:paraId="77714328" w14:textId="77777777" w:rsidR="00C74BE7" w:rsidRPr="00C74BE7" w:rsidRDefault="00C74BE7" w:rsidP="00C74BE7">
      <w:r w:rsidRPr="00C74BE7">
        <w:t xml:space="preserve">Matters may be resolved outside Schedule 3 when: </w:t>
      </w:r>
    </w:p>
    <w:p w14:paraId="4F2A5090" w14:textId="77777777" w:rsidR="00C74BE7" w:rsidRPr="00C74BE7" w:rsidRDefault="00C74BE7" w:rsidP="00C74BE7">
      <w:pPr>
        <w:ind w:left="720"/>
      </w:pPr>
      <w:r w:rsidRPr="00C74BE7">
        <w:t xml:space="preserve">• The concern is low level and capable of being resolved through explanation, reassurance, provision of information, updates on ongoing matters or service recovery. </w:t>
      </w:r>
    </w:p>
    <w:p w14:paraId="2561880B" w14:textId="77777777" w:rsidR="00C74BE7" w:rsidRPr="00C74BE7" w:rsidRDefault="00C74BE7" w:rsidP="00C74BE7">
      <w:pPr>
        <w:ind w:left="720"/>
      </w:pPr>
      <w:r w:rsidRPr="00C74BE7">
        <w:t xml:space="preserve">• The complainant is satisfied with a prompt, proportionate response outside formal recording. </w:t>
      </w:r>
    </w:p>
    <w:p w14:paraId="29ACDEC5" w14:textId="77777777" w:rsidR="00C74BE7" w:rsidRPr="00C74BE7" w:rsidRDefault="00C74BE7" w:rsidP="00C74BE7">
      <w:pPr>
        <w:ind w:left="720"/>
      </w:pPr>
      <w:r w:rsidRPr="00C74BE7">
        <w:t xml:space="preserve">• No allegation meets the threshold for mandatory referral or formal investigation. </w:t>
      </w:r>
    </w:p>
    <w:p w14:paraId="67EAFE0F" w14:textId="77777777" w:rsidR="00C74BE7" w:rsidRPr="00C74BE7" w:rsidRDefault="00C74BE7" w:rsidP="00C74BE7">
      <w:r w:rsidRPr="00C74BE7">
        <w:t xml:space="preserve">This approach is detailed in the Complaint Resolution Team Complaint Handling Process (attached) and includes likely outcomes such as providing explanations, apologies, returning </w:t>
      </w:r>
      <w:r w:rsidRPr="00C74BE7">
        <w:lastRenderedPageBreak/>
        <w:t xml:space="preserve">property, signposting and identifying learning for officers. The complainant retains the right to request formal recording at any stage if dissatisfied. </w:t>
      </w:r>
    </w:p>
    <w:p w14:paraId="3D218521" w14:textId="77777777" w:rsidR="00C74BE7" w:rsidRPr="00C74BE7" w:rsidRDefault="00C74BE7" w:rsidP="00C74BE7">
      <w:pPr>
        <w:rPr>
          <w:b/>
          <w:bCs/>
        </w:rPr>
      </w:pPr>
      <w:r w:rsidRPr="00C74BE7">
        <w:rPr>
          <w:b/>
          <w:bCs/>
        </w:rPr>
        <w:t xml:space="preserve">2. Consideration of vulnerability </w:t>
      </w:r>
    </w:p>
    <w:p w14:paraId="49FD0A3F" w14:textId="77777777" w:rsidR="00C74BE7" w:rsidRPr="00C74BE7" w:rsidRDefault="00C74BE7" w:rsidP="00C74BE7">
      <w:r w:rsidRPr="00C74BE7">
        <w:t xml:space="preserve">CPCT staff follow a structured process to identify and take account of vulnerability, disability or mental health factors at triage. Current requirements include: </w:t>
      </w:r>
    </w:p>
    <w:p w14:paraId="0B7EE2C4" w14:textId="77777777" w:rsidR="00C74BE7" w:rsidRPr="00C74BE7" w:rsidRDefault="00C74BE7" w:rsidP="00C74BE7">
      <w:pPr>
        <w:ind w:left="720"/>
      </w:pPr>
      <w:r w:rsidRPr="00C74BE7">
        <w:t xml:space="preserve">• Reviewing any information provided on the complaint form that indicates disability, mental health needs or wider vulnerability. </w:t>
      </w:r>
    </w:p>
    <w:p w14:paraId="1DCE1E72" w14:textId="77777777" w:rsidR="00C74BE7" w:rsidRPr="00C74BE7" w:rsidRDefault="00C74BE7" w:rsidP="00C74BE7">
      <w:pPr>
        <w:ind w:left="720"/>
      </w:pPr>
      <w:r w:rsidRPr="00C74BE7">
        <w:t xml:space="preserve">• Offering reasonable adjustments during the acknowledgment stage to ensure accessibility. </w:t>
      </w:r>
    </w:p>
    <w:p w14:paraId="0772B975" w14:textId="77777777" w:rsidR="00C74BE7" w:rsidRPr="00C74BE7" w:rsidRDefault="00C74BE7" w:rsidP="00C74BE7">
      <w:pPr>
        <w:ind w:left="720"/>
      </w:pPr>
      <w:r w:rsidRPr="00C74BE7">
        <w:t xml:space="preserve">• Applying the OPCC Vulnerability Checklist (attached) to identify markers such as domestic abuse, safeguarding concerns, disability, mental health or communication needs. </w:t>
      </w:r>
    </w:p>
    <w:p w14:paraId="57418044" w14:textId="77777777" w:rsidR="00C74BE7" w:rsidRPr="00C74BE7" w:rsidRDefault="00C74BE7" w:rsidP="00C74BE7">
      <w:pPr>
        <w:ind w:left="720"/>
      </w:pPr>
      <w:r w:rsidRPr="00C74BE7">
        <w:t xml:space="preserve">• Using police systems such as Enterprise to gather additional relevant information where vulnerability is suspected. </w:t>
      </w:r>
    </w:p>
    <w:p w14:paraId="06E2847A" w14:textId="77777777" w:rsidR="00C74BE7" w:rsidRPr="00C74BE7" w:rsidRDefault="00C74BE7" w:rsidP="00C74BE7">
      <w:pPr>
        <w:ind w:left="720"/>
      </w:pPr>
      <w:r w:rsidRPr="00C74BE7">
        <w:t xml:space="preserve">• Signposting to national and local support agencies where needed. </w:t>
      </w:r>
    </w:p>
    <w:p w14:paraId="3B00F2A5" w14:textId="77777777" w:rsidR="00C74BE7" w:rsidRPr="00C74BE7" w:rsidRDefault="00C74BE7" w:rsidP="00C74BE7">
      <w:r w:rsidRPr="00C74BE7">
        <w:t xml:space="preserve">These safeguards ensure that complaint handling is adapted appropriately and additional protection measures are taken where risk is identified. </w:t>
      </w:r>
    </w:p>
    <w:p w14:paraId="2E6971DE" w14:textId="77777777" w:rsidR="00C74BE7" w:rsidRPr="00C74BE7" w:rsidRDefault="00C74BE7" w:rsidP="00C74BE7">
      <w:pPr>
        <w:rPr>
          <w:b/>
          <w:bCs/>
        </w:rPr>
      </w:pPr>
      <w:r w:rsidRPr="00C74BE7">
        <w:rPr>
          <w:b/>
          <w:bCs/>
        </w:rPr>
        <w:t xml:space="preserve">3. Safeguards against premature closure </w:t>
      </w:r>
    </w:p>
    <w:p w14:paraId="1E4227E5" w14:textId="77777777" w:rsidR="00C74BE7" w:rsidRPr="00C74BE7" w:rsidRDefault="00C74BE7" w:rsidP="00C74BE7">
      <w:r w:rsidRPr="00C74BE7">
        <w:t xml:space="preserve">The following checks are in place to ensure complaints are not filtered out or closed prematurely: </w:t>
      </w:r>
    </w:p>
    <w:p w14:paraId="6B01324A" w14:textId="77777777" w:rsidR="00C74BE7" w:rsidRPr="00C74BE7" w:rsidRDefault="00C74BE7" w:rsidP="00C74BE7">
      <w:pPr>
        <w:ind w:left="720"/>
      </w:pPr>
      <w:r w:rsidRPr="00C74BE7">
        <w:t xml:space="preserve">• All cases are triaged by a Team Leader using both the IOPC categorisation tool and the OPCC triage process. </w:t>
      </w:r>
    </w:p>
    <w:p w14:paraId="27F32045" w14:textId="77777777" w:rsidR="00C74BE7" w:rsidRPr="00C74BE7" w:rsidRDefault="00C74BE7" w:rsidP="00C74BE7">
      <w:pPr>
        <w:ind w:left="720"/>
      </w:pPr>
      <w:r w:rsidRPr="00C74BE7">
        <w:t xml:space="preserve">• Allegations are clarified directly with the complainant to ensure the substance of the complaint is understood before any decision is made. </w:t>
      </w:r>
    </w:p>
    <w:p w14:paraId="3529B362" w14:textId="77777777" w:rsidR="00C74BE7" w:rsidRPr="00C74BE7" w:rsidRDefault="00C74BE7" w:rsidP="00C74BE7">
      <w:pPr>
        <w:ind w:left="720"/>
      </w:pPr>
      <w:r w:rsidRPr="00C74BE7">
        <w:t xml:space="preserve">• Complainants are informed at the outset that they may request formal complaint recording at any stage. </w:t>
      </w:r>
    </w:p>
    <w:p w14:paraId="1BD398E9" w14:textId="77777777" w:rsidR="00C74BE7" w:rsidRPr="00C74BE7" w:rsidRDefault="00C74BE7" w:rsidP="00C74BE7">
      <w:pPr>
        <w:ind w:left="720"/>
      </w:pPr>
      <w:r w:rsidRPr="00C74BE7">
        <w:t xml:space="preserve">• Supervisory quality assurance is applied on closure of every complaint to ensure compliance with statutory guidance. </w:t>
      </w:r>
    </w:p>
    <w:p w14:paraId="1F9DE21C" w14:textId="77777777" w:rsidR="00C74BE7" w:rsidRPr="00C74BE7" w:rsidRDefault="00C74BE7" w:rsidP="00C74BE7">
      <w:pPr>
        <w:ind w:left="720"/>
      </w:pPr>
      <w:r w:rsidRPr="00C74BE7">
        <w:t xml:space="preserve">• Cases assessed as meeting Schedule 3 thresholds are escalated and recorded accordingly without delay. </w:t>
      </w:r>
    </w:p>
    <w:p w14:paraId="06F8203F" w14:textId="77777777" w:rsidR="00C74BE7" w:rsidRPr="00C74BE7" w:rsidRDefault="00C74BE7" w:rsidP="00C74BE7">
      <w:r w:rsidRPr="00C74BE7">
        <w:t xml:space="preserve">These safeguards ensure compliance with the IOPC requirement that complaints must be assessed on the substance of the allegation, not the language used. </w:t>
      </w:r>
    </w:p>
    <w:p w14:paraId="77F9BCB7" w14:textId="77777777" w:rsidR="00C74BE7" w:rsidRPr="00C74BE7" w:rsidRDefault="00C74BE7" w:rsidP="00C74BE7">
      <w:pPr>
        <w:rPr>
          <w:b/>
          <w:bCs/>
        </w:rPr>
      </w:pPr>
      <w:r w:rsidRPr="00C74BE7">
        <w:rPr>
          <w:b/>
          <w:bCs/>
        </w:rPr>
        <w:t xml:space="preserve">4. Domestic abuse complaint handling </w:t>
      </w:r>
    </w:p>
    <w:p w14:paraId="42C9C2A6" w14:textId="77777777" w:rsidR="00C74BE7" w:rsidRPr="00C74BE7" w:rsidRDefault="00C74BE7" w:rsidP="00C74BE7">
      <w:r w:rsidRPr="00C74BE7">
        <w:t xml:space="preserve">Yes, CPCT staff are provided with specific requirements and prompts when handling complaints involving domestic abuse victims. These include: </w:t>
      </w:r>
    </w:p>
    <w:p w14:paraId="513D320C" w14:textId="77777777" w:rsidR="00C74BE7" w:rsidRPr="00C74BE7" w:rsidRDefault="00C74BE7" w:rsidP="00C74BE7">
      <w:pPr>
        <w:ind w:left="720"/>
      </w:pPr>
      <w:r w:rsidRPr="00C74BE7">
        <w:t xml:space="preserve">• Checking for indicators of domestic abuse and applying the OPCC Vulnerability Checklist to assess risk. </w:t>
      </w:r>
    </w:p>
    <w:p w14:paraId="33B5C4BC" w14:textId="77777777" w:rsidR="00C74BE7" w:rsidRPr="00C74BE7" w:rsidRDefault="00C74BE7" w:rsidP="00C74BE7">
      <w:pPr>
        <w:ind w:left="720"/>
      </w:pPr>
      <w:r w:rsidRPr="00C74BE7">
        <w:lastRenderedPageBreak/>
        <w:t xml:space="preserve">• Accessing available information through police systems such as Enterprise to build a clear picture of history and safeguarding context. </w:t>
      </w:r>
    </w:p>
    <w:p w14:paraId="5F4939FC" w14:textId="77777777" w:rsidR="00C74BE7" w:rsidRPr="00C74BE7" w:rsidRDefault="00C74BE7" w:rsidP="00C74BE7">
      <w:pPr>
        <w:ind w:left="720"/>
      </w:pPr>
      <w:r w:rsidRPr="00C74BE7">
        <w:t xml:space="preserve">• Ensuring communications do not disclose information that could place the complainant at risk. </w:t>
      </w:r>
    </w:p>
    <w:p w14:paraId="174262A6" w14:textId="77777777" w:rsidR="00C74BE7" w:rsidRPr="00C74BE7" w:rsidRDefault="00C74BE7" w:rsidP="00C74BE7">
      <w:pPr>
        <w:ind w:left="720"/>
      </w:pPr>
      <w:r w:rsidRPr="00C74BE7">
        <w:t xml:space="preserve">• Providing details of national and local domestic abuse support services as standard. </w:t>
      </w:r>
    </w:p>
    <w:p w14:paraId="68CF3592" w14:textId="77777777" w:rsidR="00C74BE7" w:rsidRPr="00C74BE7" w:rsidRDefault="00C74BE7" w:rsidP="00C74BE7">
      <w:pPr>
        <w:ind w:left="720"/>
      </w:pPr>
      <w:r w:rsidRPr="00C74BE7">
        <w:t xml:space="preserve">• Ensuring that any safeguarding concerns identified during complaint handling are escalated to the Force Control Room for welfare checks or raised via the officer in charge’s line management. </w:t>
      </w:r>
    </w:p>
    <w:p w14:paraId="704715E0" w14:textId="77777777" w:rsidR="00C74BE7" w:rsidRPr="00C74BE7" w:rsidRDefault="00C74BE7" w:rsidP="00C74BE7">
      <w:pPr>
        <w:ind w:left="720"/>
      </w:pPr>
      <w:r w:rsidRPr="00C74BE7">
        <w:t xml:space="preserve">• Ensuring that the complaint assessment considers whether the force’s actions aligned with safeguarding duties, especially in cases involving risk to life, coercive control or vulnerable victims. </w:t>
      </w:r>
    </w:p>
    <w:p w14:paraId="721F2B88" w14:textId="77777777" w:rsidR="00C74BE7" w:rsidRPr="00C74BE7" w:rsidRDefault="00C74BE7" w:rsidP="00C74BE7">
      <w:r w:rsidRPr="00C74BE7">
        <w:t xml:space="preserve">These requirements ensure that domestic abuse cases are handled sensitively, safely and in line with safeguarding obligations. </w:t>
      </w:r>
    </w:p>
    <w:p w14:paraId="30D5F5AC" w14:textId="77777777" w:rsidR="00C74BE7" w:rsidRPr="00C74BE7" w:rsidRDefault="00C74BE7" w:rsidP="00C74BE7">
      <w:pPr>
        <w:rPr>
          <w:b/>
          <w:bCs/>
        </w:rPr>
      </w:pPr>
      <w:r w:rsidRPr="00C74BE7">
        <w:rPr>
          <w:b/>
          <w:bCs/>
        </w:rPr>
        <w:t xml:space="preserve">5. Training provided to CPCT staff </w:t>
      </w:r>
    </w:p>
    <w:p w14:paraId="1B3E854E" w14:textId="77777777" w:rsidR="00C74BE7" w:rsidRPr="00C74BE7" w:rsidRDefault="00C74BE7" w:rsidP="00C74BE7">
      <w:r w:rsidRPr="00C74BE7">
        <w:t xml:space="preserve">In the last 4 years, CPCT staff have received the following training relevant to this request: </w:t>
      </w:r>
    </w:p>
    <w:p w14:paraId="488CAF31" w14:textId="77777777" w:rsidR="00C74BE7" w:rsidRPr="00C74BE7" w:rsidRDefault="00C74BE7" w:rsidP="00C74BE7">
      <w:pPr>
        <w:ind w:left="720"/>
      </w:pPr>
      <w:r w:rsidRPr="00C74BE7">
        <w:t xml:space="preserve">• Domestic abuse awareness – undertaken by former police officers within the team who identify DA markers and escalate concerns appropriately. </w:t>
      </w:r>
    </w:p>
    <w:p w14:paraId="5829CAEF" w14:textId="77777777" w:rsidR="00C74BE7" w:rsidRPr="00C74BE7" w:rsidRDefault="00C74BE7" w:rsidP="00C74BE7">
      <w:pPr>
        <w:ind w:left="720"/>
      </w:pPr>
      <w:r w:rsidRPr="00C74BE7">
        <w:t xml:space="preserve">• Trauma informed practice – suicide awareness training delivered to staff. </w:t>
      </w:r>
    </w:p>
    <w:p w14:paraId="565B0E63" w14:textId="77777777" w:rsidR="00C74BE7" w:rsidRPr="00C74BE7" w:rsidRDefault="00C74BE7" w:rsidP="00C74BE7">
      <w:pPr>
        <w:ind w:left="720"/>
      </w:pPr>
      <w:r w:rsidRPr="00C74BE7">
        <w:t xml:space="preserve">• Vulnerability and safeguarding – use of the OPCC Vulnerability Checklist and associated escalation pathways. </w:t>
      </w:r>
    </w:p>
    <w:p w14:paraId="7E43C474" w14:textId="77777777" w:rsidR="00C74BE7" w:rsidRPr="00C74BE7" w:rsidRDefault="00C74BE7" w:rsidP="00C74BE7">
      <w:pPr>
        <w:ind w:left="720"/>
      </w:pPr>
      <w:r w:rsidRPr="00C74BE7">
        <w:t xml:space="preserve">• Equality Act duties – e learning through NCALT equality and diversity training. </w:t>
      </w:r>
    </w:p>
    <w:p w14:paraId="08D483D7" w14:textId="77777777" w:rsidR="00C74BE7" w:rsidRPr="00C74BE7" w:rsidRDefault="00C74BE7" w:rsidP="00C74BE7">
      <w:pPr>
        <w:rPr>
          <w:b/>
          <w:bCs/>
        </w:rPr>
      </w:pPr>
      <w:r w:rsidRPr="00C74BE7">
        <w:rPr>
          <w:b/>
          <w:bCs/>
        </w:rPr>
        <w:t xml:space="preserve">6. Beacon victim support escalation </w:t>
      </w:r>
    </w:p>
    <w:p w14:paraId="5BD27F95" w14:textId="77777777" w:rsidR="00C74BE7" w:rsidRPr="00C74BE7" w:rsidRDefault="00C74BE7" w:rsidP="00C74BE7">
      <w:r w:rsidRPr="00C74BE7">
        <w:t xml:space="preserve">The OPCC does not have authority to handle complaints about commissioned services. Where a victim reports that the Beacon service has declined or withdrawn support: </w:t>
      </w:r>
    </w:p>
    <w:p w14:paraId="357564FA" w14:textId="77777777" w:rsidR="00C74BE7" w:rsidRPr="00C74BE7" w:rsidRDefault="00C74BE7" w:rsidP="00C74BE7">
      <w:pPr>
        <w:ind w:left="720"/>
      </w:pPr>
      <w:r w:rsidRPr="00C74BE7">
        <w:t xml:space="preserve">• They are signposted to the Beacon Service Manager as the appropriate route for raising concerns. </w:t>
      </w:r>
    </w:p>
    <w:p w14:paraId="73AF893C" w14:textId="77777777" w:rsidR="00C74BE7" w:rsidRPr="00C74BE7" w:rsidRDefault="00C74BE7" w:rsidP="00C74BE7">
      <w:pPr>
        <w:ind w:left="720"/>
      </w:pPr>
      <w:r w:rsidRPr="00C74BE7">
        <w:t xml:space="preserve">• CPCT cannot intervene in individual Beacon decisions but will ensure the victim is provided with the correct escalation contact. </w:t>
      </w:r>
    </w:p>
    <w:p w14:paraId="3030A867" w14:textId="77777777" w:rsidR="00C74BE7" w:rsidRPr="00C74BE7" w:rsidRDefault="00C74BE7" w:rsidP="00C74BE7">
      <w:pPr>
        <w:ind w:left="720"/>
      </w:pPr>
      <w:r w:rsidRPr="00C74BE7">
        <w:t xml:space="preserve">• Where vulnerability is evident, CPCT may also signpost to alternative support agencies. </w:t>
      </w:r>
    </w:p>
    <w:p w14:paraId="55B93695" w14:textId="77777777" w:rsidR="00C74BE7" w:rsidRPr="00C74BE7" w:rsidRDefault="00C74BE7" w:rsidP="00C74BE7">
      <w:r w:rsidRPr="00C74BE7">
        <w:t xml:space="preserve">There is no separate escalation pathway within OPCC structures for operational decisions made by Beacon. </w:t>
      </w:r>
    </w:p>
    <w:p w14:paraId="3D6FD0B0" w14:textId="77777777" w:rsidR="00C74BE7" w:rsidRPr="00C74BE7" w:rsidRDefault="00C74BE7" w:rsidP="00C74BE7">
      <w:pPr>
        <w:rPr>
          <w:b/>
          <w:bCs/>
        </w:rPr>
      </w:pPr>
      <w:r w:rsidRPr="00C74BE7">
        <w:rPr>
          <w:b/>
          <w:bCs/>
        </w:rPr>
        <w:t xml:space="preserve">7. Victims’ Right to Review (VRR) </w:t>
      </w:r>
    </w:p>
    <w:p w14:paraId="05A5D29F" w14:textId="77777777" w:rsidR="00C74BE7" w:rsidRPr="00C74BE7" w:rsidRDefault="00C74BE7" w:rsidP="00C74BE7">
      <w:r w:rsidRPr="00C74BE7">
        <w:t xml:space="preserve">CPCT staff use the VRR eligibility criteria to determine whether a complainant should be signposted to the VRR process. Staff are required to: </w:t>
      </w:r>
    </w:p>
    <w:p w14:paraId="458DD9B4" w14:textId="77777777" w:rsidR="00C74BE7" w:rsidRPr="00C74BE7" w:rsidRDefault="00C74BE7" w:rsidP="00C74BE7">
      <w:pPr>
        <w:ind w:left="720"/>
      </w:pPr>
      <w:r w:rsidRPr="00C74BE7">
        <w:t xml:space="preserve">• Check whether the reported matter meets the statutory criteria for VRR. </w:t>
      </w:r>
    </w:p>
    <w:p w14:paraId="6DE5B437" w14:textId="77777777" w:rsidR="00C74BE7" w:rsidRPr="00C74BE7" w:rsidRDefault="00C74BE7" w:rsidP="00C74BE7">
      <w:pPr>
        <w:ind w:left="720"/>
      </w:pPr>
      <w:r w:rsidRPr="00C74BE7">
        <w:lastRenderedPageBreak/>
        <w:t xml:space="preserve">• Refer eligible cases to the VRR team for assessment. </w:t>
      </w:r>
    </w:p>
    <w:p w14:paraId="203F9C6A" w14:textId="77777777" w:rsidR="00C74BE7" w:rsidRPr="00C74BE7" w:rsidRDefault="00C74BE7" w:rsidP="00C74BE7">
      <w:pPr>
        <w:ind w:left="720"/>
      </w:pPr>
      <w:r w:rsidRPr="00C74BE7">
        <w:t xml:space="preserve">• Explain to complainants that CPCT has no authority to compel Hertfordshire Constabulary to carry out a VRR as this is an operational decision under police control. </w:t>
      </w:r>
    </w:p>
    <w:p w14:paraId="436060DB" w14:textId="77777777" w:rsidR="00C74BE7" w:rsidRPr="00C74BE7" w:rsidRDefault="00C74BE7" w:rsidP="00C74BE7">
      <w:pPr>
        <w:rPr>
          <w:b/>
          <w:bCs/>
        </w:rPr>
      </w:pPr>
      <w:r w:rsidRPr="00C74BE7">
        <w:rPr>
          <w:b/>
          <w:bCs/>
        </w:rPr>
        <w:t xml:space="preserve">8. Interaction with ongoing police investigations </w:t>
      </w:r>
    </w:p>
    <w:p w14:paraId="63707CEF" w14:textId="77777777" w:rsidR="00C74BE7" w:rsidRPr="00C74BE7" w:rsidRDefault="00C74BE7" w:rsidP="00C74BE7">
      <w:r w:rsidRPr="00C74BE7">
        <w:t xml:space="preserve">CPCT follows established safeguards to ensure complaints are not inappropriately resolved where a live investigation is ongoing: </w:t>
      </w:r>
    </w:p>
    <w:p w14:paraId="6D75D2AF" w14:textId="77777777" w:rsidR="00C74BE7" w:rsidRPr="00C74BE7" w:rsidRDefault="00C74BE7" w:rsidP="00C74BE7">
      <w:pPr>
        <w:ind w:left="720"/>
      </w:pPr>
      <w:r w:rsidRPr="00C74BE7">
        <w:t xml:space="preserve">• Staff access investigation information through police systems to understand the live status. </w:t>
      </w:r>
    </w:p>
    <w:p w14:paraId="5C20790F" w14:textId="77777777" w:rsidR="00C74BE7" w:rsidRPr="00C74BE7" w:rsidRDefault="00C74BE7" w:rsidP="00C74BE7">
      <w:pPr>
        <w:ind w:left="720"/>
      </w:pPr>
      <w:r w:rsidRPr="00C74BE7">
        <w:t xml:space="preserve">• CPCT does not intervene in operational decisions or the conduct of live investigations. </w:t>
      </w:r>
    </w:p>
    <w:p w14:paraId="64D12D75" w14:textId="77777777" w:rsidR="00C74BE7" w:rsidRPr="00C74BE7" w:rsidRDefault="00C74BE7" w:rsidP="00C74BE7">
      <w:pPr>
        <w:ind w:left="720"/>
      </w:pPr>
      <w:r w:rsidRPr="00C74BE7">
        <w:t xml:space="preserve">• Matters relating to defence arguments or disagreements about investigative decisions are not suitable for the complaints route while the investigation is active. </w:t>
      </w:r>
    </w:p>
    <w:p w14:paraId="47C9C8C1" w14:textId="77777777" w:rsidR="00C74BE7" w:rsidRPr="00C74BE7" w:rsidRDefault="00C74BE7" w:rsidP="00C74BE7">
      <w:pPr>
        <w:ind w:left="720"/>
      </w:pPr>
      <w:r w:rsidRPr="00C74BE7">
        <w:t xml:space="preserve">• Simple service issues such as communication failures or delays may still be addressed through explanation. </w:t>
      </w:r>
    </w:p>
    <w:p w14:paraId="2327797E" w14:textId="77777777" w:rsidR="00C74BE7" w:rsidRPr="00C74BE7" w:rsidRDefault="00C74BE7" w:rsidP="00C74BE7">
      <w:pPr>
        <w:ind w:left="720"/>
      </w:pPr>
      <w:r w:rsidRPr="00C74BE7">
        <w:t xml:space="preserve">• Counter allegations raised by complainants are signposted to be logged by police upon conclusion of the investigation. </w:t>
      </w:r>
    </w:p>
    <w:p w14:paraId="3C6CA766" w14:textId="77777777" w:rsidR="00C74BE7" w:rsidRPr="00C74BE7" w:rsidRDefault="00C74BE7" w:rsidP="00C74BE7">
      <w:pPr>
        <w:ind w:left="720"/>
      </w:pPr>
      <w:r w:rsidRPr="00C74BE7">
        <w:t xml:space="preserve">• Any safeguarding issues identified during complaint handling are escalated to the Force Control Room or through the officer in charge’s management. </w:t>
      </w:r>
    </w:p>
    <w:p w14:paraId="71146C4B" w14:textId="2F5EB89E" w:rsidR="000E3B5E" w:rsidRDefault="00C74BE7" w:rsidP="00C74BE7">
      <w:pPr>
        <w:rPr>
          <w:b/>
          <w:bCs/>
        </w:rPr>
      </w:pPr>
      <w:r w:rsidRPr="00C74BE7">
        <w:t>There is no separate local policy beyond these operational safeguards</w:t>
      </w:r>
      <w:r w:rsidRPr="00C74BE7">
        <w:rPr>
          <w:b/>
          <w:bCs/>
        </w:rPr>
        <w:t xml:space="preserve">. </w:t>
      </w:r>
      <w:r w:rsidR="000E3B5E" w:rsidRPr="000E3B5E">
        <w:rPr>
          <w:b/>
          <w:bCs/>
        </w:rPr>
        <w:t xml:space="preserve"> </w:t>
      </w:r>
    </w:p>
    <w:p w14:paraId="1C89613F" w14:textId="14DCB6F6" w:rsidR="00C74BE7" w:rsidRDefault="00C74BE7" w:rsidP="00C74BE7">
      <w:pPr>
        <w:rPr>
          <w:b/>
          <w:bCs/>
        </w:rPr>
      </w:pPr>
      <w:r>
        <w:rPr>
          <w:b/>
          <w:bCs/>
        </w:rPr>
        <w:t xml:space="preserve">*Please </w:t>
      </w:r>
      <w:hyperlink r:id="rId9" w:history="1">
        <w:r w:rsidRPr="00C74BE7">
          <w:rPr>
            <w:rStyle w:val="Hyperlink"/>
            <w:b/>
            <w:bCs/>
          </w:rPr>
          <w:t>contact us</w:t>
        </w:r>
      </w:hyperlink>
      <w:r>
        <w:rPr>
          <w:b/>
          <w:bCs/>
        </w:rPr>
        <w:t xml:space="preserve"> if you would like copies of the attachments</w:t>
      </w:r>
    </w:p>
    <w:sectPr w:rsidR="00C74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A4504"/>
    <w:multiLevelType w:val="multilevel"/>
    <w:tmpl w:val="CE8EC51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ptos" w:eastAsia="Aptos" w:hAnsi="Aptos" w:cs="Times New Roman" w:hint="default"/>
        <w: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960897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5E"/>
    <w:rsid w:val="000A1C13"/>
    <w:rsid w:val="000D2823"/>
    <w:rsid w:val="000E3B5E"/>
    <w:rsid w:val="00464EB4"/>
    <w:rsid w:val="0054391A"/>
    <w:rsid w:val="005B2D46"/>
    <w:rsid w:val="00655DE6"/>
    <w:rsid w:val="00A927E9"/>
    <w:rsid w:val="00C74BE7"/>
    <w:rsid w:val="00ED2FB9"/>
    <w:rsid w:val="00F3725F"/>
    <w:rsid w:val="00F816C2"/>
    <w:rsid w:val="00FB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383D"/>
  <w15:chartTrackingRefBased/>
  <w15:docId w15:val="{C415AB14-8799-46F4-A465-70903A20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5E"/>
    <w:rPr>
      <w:rFonts w:eastAsiaTheme="majorEastAsia" w:cstheme="majorBidi"/>
      <w:color w:val="272727" w:themeColor="text1" w:themeTint="D8"/>
    </w:rPr>
  </w:style>
  <w:style w:type="paragraph" w:styleId="Title">
    <w:name w:val="Title"/>
    <w:basedOn w:val="Normal"/>
    <w:next w:val="Normal"/>
    <w:link w:val="TitleChar"/>
    <w:uiPriority w:val="10"/>
    <w:qFormat/>
    <w:rsid w:val="000E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5E"/>
    <w:pPr>
      <w:spacing w:before="160"/>
      <w:jc w:val="center"/>
    </w:pPr>
    <w:rPr>
      <w:i/>
      <w:iCs/>
      <w:color w:val="404040" w:themeColor="text1" w:themeTint="BF"/>
    </w:rPr>
  </w:style>
  <w:style w:type="character" w:customStyle="1" w:styleId="QuoteChar">
    <w:name w:val="Quote Char"/>
    <w:basedOn w:val="DefaultParagraphFont"/>
    <w:link w:val="Quote"/>
    <w:uiPriority w:val="29"/>
    <w:rsid w:val="000E3B5E"/>
    <w:rPr>
      <w:i/>
      <w:iCs/>
      <w:color w:val="404040" w:themeColor="text1" w:themeTint="BF"/>
    </w:rPr>
  </w:style>
  <w:style w:type="paragraph" w:styleId="ListParagraph">
    <w:name w:val="List Paragraph"/>
    <w:basedOn w:val="Normal"/>
    <w:uiPriority w:val="34"/>
    <w:qFormat/>
    <w:rsid w:val="000E3B5E"/>
    <w:pPr>
      <w:ind w:left="720"/>
      <w:contextualSpacing/>
    </w:pPr>
  </w:style>
  <w:style w:type="character" w:styleId="IntenseEmphasis">
    <w:name w:val="Intense Emphasis"/>
    <w:basedOn w:val="DefaultParagraphFont"/>
    <w:uiPriority w:val="21"/>
    <w:qFormat/>
    <w:rsid w:val="000E3B5E"/>
    <w:rPr>
      <w:i/>
      <w:iCs/>
      <w:color w:val="0F4761" w:themeColor="accent1" w:themeShade="BF"/>
    </w:rPr>
  </w:style>
  <w:style w:type="paragraph" w:styleId="IntenseQuote">
    <w:name w:val="Intense Quote"/>
    <w:basedOn w:val="Normal"/>
    <w:next w:val="Normal"/>
    <w:link w:val="IntenseQuoteChar"/>
    <w:uiPriority w:val="30"/>
    <w:qFormat/>
    <w:rsid w:val="000E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B5E"/>
    <w:rPr>
      <w:i/>
      <w:iCs/>
      <w:color w:val="0F4761" w:themeColor="accent1" w:themeShade="BF"/>
    </w:rPr>
  </w:style>
  <w:style w:type="character" w:styleId="IntenseReference">
    <w:name w:val="Intense Reference"/>
    <w:basedOn w:val="DefaultParagraphFont"/>
    <w:uiPriority w:val="32"/>
    <w:qFormat/>
    <w:rsid w:val="000E3B5E"/>
    <w:rPr>
      <w:b/>
      <w:bCs/>
      <w:smallCaps/>
      <w:color w:val="0F4761" w:themeColor="accent1" w:themeShade="BF"/>
      <w:spacing w:val="5"/>
    </w:rPr>
  </w:style>
  <w:style w:type="table" w:styleId="TableGrid">
    <w:name w:val="Table Grid"/>
    <w:basedOn w:val="TableNormal"/>
    <w:uiPriority w:val="39"/>
    <w:rsid w:val="0054391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7E9"/>
    <w:rPr>
      <w:color w:val="467886" w:themeColor="hyperlink"/>
      <w:u w:val="single"/>
    </w:rPr>
  </w:style>
  <w:style w:type="character" w:styleId="UnresolvedMention">
    <w:name w:val="Unresolved Mention"/>
    <w:basedOn w:val="DefaultParagraphFont"/>
    <w:uiPriority w:val="99"/>
    <w:semiHidden/>
    <w:unhideWhenUsed/>
    <w:rsid w:val="00A927E9"/>
    <w:rPr>
      <w:color w:val="605E5C"/>
      <w:shd w:val="clear" w:color="auto" w:fill="E1DFDD"/>
    </w:rPr>
  </w:style>
  <w:style w:type="character" w:styleId="FollowedHyperlink">
    <w:name w:val="FollowedHyperlink"/>
    <w:basedOn w:val="DefaultParagraphFont"/>
    <w:uiPriority w:val="99"/>
    <w:semiHidden/>
    <w:unhideWhenUsed/>
    <w:rsid w:val="00C74B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herts-pcc.gov.uk/contact-us-complaint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41A49F54D046F8438317F0A83B6515C0" ma:contentTypeVersion="11" ma:contentTypeDescription="Create a new document." ma:contentTypeScope="" ma:versionID="70fb100f2ecb3c190fcd928c59cb53b1">
  <xsd:schema xmlns:xsd="http://www.w3.org/2001/XMLSchema" xmlns:xs="http://www.w3.org/2001/XMLSchema" xmlns:p="http://schemas.microsoft.com/office/2006/metadata/properties" xmlns:ns2="dbffcf6f-30f0-43d5-80f2-6ce15d07c00c" xmlns:ns3="107aefa1-1adb-49cd-a559-d62c8008c2e1" targetNamespace="http://schemas.microsoft.com/office/2006/metadata/properties" ma:root="true" ma:fieldsID="2dd3da4adfcb4f4f30481ef26c69b91a" ns2:_="" ns3:_="">
    <xsd:import namespace="dbffcf6f-30f0-43d5-80f2-6ce15d07c00c"/>
    <xsd:import namespace="107aefa1-1adb-49cd-a559-d62c8008c2e1"/>
    <xsd:element name="properties">
      <xsd:complexType>
        <xsd:sequence>
          <xsd:element name="documentManagement">
            <xsd:complexType>
              <xsd:all>
                <xsd:element ref="ns2:_dlc_DocId" minOccurs="0"/>
                <xsd:element ref="ns2:_dlc_DocIdUrl" minOccurs="0"/>
                <xsd:element ref="ns2:_dlc_DocIdPersistId" minOccurs="0"/>
                <xsd:element ref="ns2:c05e69d8b1084b1c86320c5205aa81f8" minOccurs="0"/>
                <xsd:element ref="ns2:TaxCatchAll" minOccurs="0"/>
                <xsd:element ref="ns2:TaxCatchAllLabel"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cf6f-30f0-43d5-80f2-6ce15d07c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05e69d8b1084b1c86320c5205aa81f8" ma:index="11" nillable="true" ma:taxonomy="true" ma:internalName="c05e69d8b1084b1c86320c5205aa81f8" ma:taxonomyFieldName="ForceDepartment" ma:displayName="Department" ma:fieldId="{c05e69d8-b108-4b1c-8632-0c5205aa81f8}"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6a40017-c27f-4d46-b0e9-e0195efdfbb6}" ma:internalName="TaxCatchAll" ma:showField="CatchAllData" ma:web="dbffcf6f-30f0-43d5-80f2-6ce15d07c0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6a40017-c27f-4d46-b0e9-e0195efdfbb6}" ma:internalName="TaxCatchAllLabel" ma:readOnly="true" ma:showField="CatchAllDataLabel" ma:web="dbffcf6f-30f0-43d5-80f2-6ce15d07c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aefa1-1adb-49cd-a559-d62c8008c2e1"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05e69d8b1084b1c86320c5205aa81f8 xmlns="dbffcf6f-30f0-43d5-80f2-6ce15d07c00c">
      <Terms xmlns="http://schemas.microsoft.com/office/infopath/2007/PartnerControls"/>
    </c05e69d8b1084b1c86320c5205aa81f8>
    <TaxCatchAll xmlns="dbffcf6f-30f0-43d5-80f2-6ce15d07c00c" xsi:nil="true"/>
    <lcf76f155ced4ddcb4097134ff3c332f xmlns="107aefa1-1adb-49cd-a559-d62c8008c2e1">
      <Terms xmlns="http://schemas.microsoft.com/office/infopath/2007/PartnerControls"/>
    </lcf76f155ced4ddcb4097134ff3c332f>
    <_dlc_DocId xmlns="dbffcf6f-30f0-43d5-80f2-6ce15d07c00c">KKT3KHUSA3NS-1713769362-96582</_dlc_DocId>
    <_dlc_DocIdUrl xmlns="dbffcf6f-30f0-43d5-80f2-6ce15d07c00c">
      <Url>https://bchpolice.sharepoint.com/sites/teamhopccihl/_layouts/15/DocIdRedir.aspx?ID=KKT3KHUSA3NS-1713769362-96582</Url>
      <Description>KKT3KHUSA3NS-1713769362-96582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0A3EB-C5FB-4D89-AA51-21C5EEF922F1}">
  <ds:schemaRefs>
    <ds:schemaRef ds:uri="http://schemas.microsoft.com/sharepoint/events"/>
  </ds:schemaRefs>
</ds:datastoreItem>
</file>

<file path=customXml/itemProps2.xml><?xml version="1.0" encoding="utf-8"?>
<ds:datastoreItem xmlns:ds="http://schemas.openxmlformats.org/officeDocument/2006/customXml" ds:itemID="{0463D4D7-5539-4204-B751-C14B9D62D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cf6f-30f0-43d5-80f2-6ce15d07c00c"/>
    <ds:schemaRef ds:uri="107aefa1-1adb-49cd-a559-d62c8008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0E33-3F06-4653-8160-FC1FC29446B5}">
  <ds:schemaRefs>
    <ds:schemaRef ds:uri="http://schemas.microsoft.com/office/2006/metadata/properties"/>
    <ds:schemaRef ds:uri="http://schemas.microsoft.com/office/infopath/2007/PartnerControls"/>
    <ds:schemaRef ds:uri="dbffcf6f-30f0-43d5-80f2-6ce15d07c00c"/>
    <ds:schemaRef ds:uri="107aefa1-1adb-49cd-a559-d62c8008c2e1"/>
  </ds:schemaRefs>
</ds:datastoreItem>
</file>

<file path=customXml/itemProps4.xml><?xml version="1.0" encoding="utf-8"?>
<ds:datastoreItem xmlns:ds="http://schemas.openxmlformats.org/officeDocument/2006/customXml" ds:itemID="{4DB5A831-0D26-4BC0-BAE4-9CBA54D87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1537</Words>
  <Characters>9104</Characters>
  <Application>Microsoft Office Word</Application>
  <DocSecurity>0</DocSecurity>
  <Lines>171</Lines>
  <Paragraphs>113</Paragraphs>
  <ScaleCrop>false</ScaleCrop>
  <Company>BCH</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SMYLEY, Keeley 7026</dc:creator>
  <cp:keywords/>
  <dc:description/>
  <cp:lastModifiedBy>SMYLEY, Keeley 7026</cp:lastModifiedBy>
  <cp:revision>3</cp:revision>
  <dcterms:created xsi:type="dcterms:W3CDTF">2026-03-06T12:05:00Z</dcterms:created>
  <dcterms:modified xsi:type="dcterms:W3CDTF">2026-03-06T12:30:00Z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2026-03-06T11:49:34Z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2cc0eb5a-29d8-4747-890c-54f92c90ca9d</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y fmtid="{D5CDD505-2E9C-101B-9397-08002B2CF9AE}" pid="10" name="ContentTypeId">
    <vt:lpwstr>0x010100F27C9619FA46FE41A4759CAFBE5D734A0041A49F54D046F8438317F0A83B6515C0</vt:lpwstr>
  </property>
  <property fmtid="{D5CDD505-2E9C-101B-9397-08002B2CF9AE}" pid="11" name="_ApprovalAssignedTo">
    <vt:lpwstr/>
  </property>
  <property fmtid="{D5CDD505-2E9C-101B-9397-08002B2CF9AE}" pid="12" name="_ApprovalStatus">
    <vt:i4>0</vt:i4>
  </property>
  <property fmtid="{D5CDD505-2E9C-101B-9397-08002B2CF9AE}" pid="13" name="_ApprovalRespondedBy">
    <vt:lpwstr/>
  </property>
  <property fmtid="{D5CDD505-2E9C-101B-9397-08002B2CF9AE}" pid="14" name="_dlc_DocIdItemGuid">
    <vt:lpwstr>0ee50a13-f5e6-420d-8d6d-af6e470fca47</vt:lpwstr>
  </property>
  <property fmtid="{D5CDD505-2E9C-101B-9397-08002B2CF9AE}" pid="15" name="ForceDepartment">
    <vt:lpwstr/>
  </property>
  <property fmtid="{D5CDD505-2E9C-101B-9397-08002B2CF9AE}" pid="16" name="MediaServiceImageTags">
    <vt:lpwstr/>
  </property>
  <property fmtid="{D5CDD505-2E9C-101B-9397-08002B2CF9AE}" pid="17" name="_ApprovalSentBy">
    <vt:lpwstr/>
  </property>
</Properties>
</file>