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5225" w14:textId="77777777" w:rsidR="000E3B5E" w:rsidRPr="00024CD4" w:rsidRDefault="000E3B5E" w:rsidP="000E3B5E">
      <w:pPr>
        <w:rPr>
          <w:sz w:val="24"/>
          <w:szCs w:val="24"/>
        </w:rPr>
      </w:pPr>
      <w:r w:rsidRPr="00024CD4">
        <w:rPr>
          <w:sz w:val="24"/>
          <w:szCs w:val="24"/>
        </w:rPr>
        <w:t xml:space="preserve">Dear Member of the public </w:t>
      </w:r>
    </w:p>
    <w:p w14:paraId="206C19C7" w14:textId="7393D054" w:rsidR="000E3B5E" w:rsidRPr="00024CD4" w:rsidRDefault="000E3B5E" w:rsidP="000E3B5E">
      <w:pPr>
        <w:rPr>
          <w:sz w:val="24"/>
          <w:szCs w:val="24"/>
        </w:rPr>
      </w:pPr>
      <w:r w:rsidRPr="00024CD4">
        <w:rPr>
          <w:sz w:val="24"/>
          <w:szCs w:val="24"/>
        </w:rPr>
        <w:t>I write in reply to your request for information under the Freedom of Information Act 2000, our reference number FOI</w:t>
      </w:r>
      <w:r w:rsidR="00D862C4">
        <w:rPr>
          <w:sz w:val="24"/>
          <w:szCs w:val="24"/>
        </w:rPr>
        <w:t>0226</w:t>
      </w:r>
      <w:r w:rsidRPr="00024CD4">
        <w:rPr>
          <w:sz w:val="24"/>
          <w:szCs w:val="24"/>
        </w:rPr>
        <w:t xml:space="preserve">. </w:t>
      </w:r>
    </w:p>
    <w:p w14:paraId="6E25B3F1" w14:textId="77777777" w:rsidR="000E3B5E" w:rsidRPr="00024CD4" w:rsidRDefault="000E3B5E" w:rsidP="000E3B5E">
      <w:pPr>
        <w:rPr>
          <w:sz w:val="24"/>
          <w:szCs w:val="24"/>
        </w:rPr>
      </w:pPr>
      <w:r w:rsidRPr="00024CD4">
        <w:rPr>
          <w:sz w:val="24"/>
          <w:szCs w:val="24"/>
        </w:rPr>
        <w:t xml:space="preserve">I am required by the Freedom of Information Act to handle all requests in a manner that is blind to the identity of the requestor. Any information released in response to a request is regarded as being published and is therefore in the public domain without caveat. </w:t>
      </w:r>
    </w:p>
    <w:p w14:paraId="6B178133" w14:textId="44CCC043" w:rsidR="00024CD4" w:rsidRPr="00024CD4" w:rsidRDefault="00024CD4" w:rsidP="00024CD4">
      <w:pPr>
        <w:rPr>
          <w:sz w:val="24"/>
          <w:szCs w:val="24"/>
        </w:rPr>
      </w:pPr>
      <w:r w:rsidRPr="00024CD4">
        <w:rPr>
          <w:sz w:val="24"/>
          <w:szCs w:val="24"/>
        </w:rPr>
        <w:t>For ease of reference, I have listed your questions together with our responses below.</w:t>
      </w:r>
    </w:p>
    <w:p w14:paraId="23047DF7" w14:textId="77777777" w:rsidR="000E3B5E" w:rsidRPr="00024CD4" w:rsidRDefault="000E3B5E" w:rsidP="000E3B5E">
      <w:pPr>
        <w:rPr>
          <w:sz w:val="24"/>
          <w:szCs w:val="24"/>
        </w:rPr>
      </w:pPr>
      <w:r w:rsidRPr="00024CD4">
        <w:rPr>
          <w:sz w:val="24"/>
          <w:szCs w:val="24"/>
        </w:rPr>
        <w:t xml:space="preserve">You have requested the following information: </w:t>
      </w:r>
    </w:p>
    <w:p w14:paraId="5C974E69" w14:textId="77777777" w:rsidR="00D862C4" w:rsidRPr="00D862C4" w:rsidRDefault="00D862C4" w:rsidP="00D862C4">
      <w:pPr>
        <w:rPr>
          <w:sz w:val="24"/>
          <w:szCs w:val="24"/>
        </w:rPr>
      </w:pPr>
      <w:r w:rsidRPr="00D862C4">
        <w:rPr>
          <w:sz w:val="24"/>
          <w:szCs w:val="24"/>
        </w:rPr>
        <w:t xml:space="preserve">1. Hotel expenses incurred by the CEO, Rafal </w:t>
      </w:r>
      <w:proofErr w:type="spellStart"/>
      <w:r w:rsidRPr="00D862C4">
        <w:rPr>
          <w:sz w:val="24"/>
          <w:szCs w:val="24"/>
        </w:rPr>
        <w:t>Hejne</w:t>
      </w:r>
      <w:proofErr w:type="spellEnd"/>
      <w:r w:rsidRPr="00D862C4">
        <w:rPr>
          <w:sz w:val="24"/>
          <w:szCs w:val="24"/>
        </w:rPr>
        <w:t xml:space="preserve">, broken down by month, from the start of his appointment in Dec 2024 to 5th Dec 2025. </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51"/>
        <w:gridCol w:w="1418"/>
      </w:tblGrid>
      <w:tr w:rsidR="00D862C4" w:rsidRPr="00D862C4" w14:paraId="51293333" w14:textId="77777777" w:rsidTr="00D862C4">
        <w:tblPrEx>
          <w:tblCellMar>
            <w:top w:w="0" w:type="dxa"/>
            <w:bottom w:w="0" w:type="dxa"/>
          </w:tblCellMar>
        </w:tblPrEx>
        <w:trPr>
          <w:trHeight w:val="312"/>
        </w:trPr>
        <w:tc>
          <w:tcPr>
            <w:tcW w:w="1951" w:type="dxa"/>
            <w:tcBorders>
              <w:top w:val="none" w:sz="6" w:space="0" w:color="auto"/>
              <w:bottom w:val="none" w:sz="6" w:space="0" w:color="auto"/>
              <w:right w:val="none" w:sz="6" w:space="0" w:color="auto"/>
            </w:tcBorders>
          </w:tcPr>
          <w:p w14:paraId="33A7E83D" w14:textId="77777777" w:rsidR="00D862C4" w:rsidRPr="00D862C4" w:rsidRDefault="00D862C4" w:rsidP="00D862C4">
            <w:pPr>
              <w:rPr>
                <w:b/>
                <w:bCs/>
                <w:sz w:val="24"/>
                <w:szCs w:val="24"/>
              </w:rPr>
            </w:pPr>
            <w:r w:rsidRPr="00D862C4">
              <w:rPr>
                <w:b/>
                <w:bCs/>
                <w:sz w:val="24"/>
                <w:szCs w:val="24"/>
              </w:rPr>
              <w:t xml:space="preserve">Month/Year </w:t>
            </w:r>
          </w:p>
        </w:tc>
        <w:tc>
          <w:tcPr>
            <w:tcW w:w="1418" w:type="dxa"/>
            <w:tcBorders>
              <w:top w:val="none" w:sz="6" w:space="0" w:color="auto"/>
              <w:left w:val="none" w:sz="6" w:space="0" w:color="auto"/>
              <w:bottom w:val="none" w:sz="6" w:space="0" w:color="auto"/>
            </w:tcBorders>
          </w:tcPr>
          <w:p w14:paraId="4B853AAF" w14:textId="77777777" w:rsidR="00D862C4" w:rsidRPr="00D862C4" w:rsidRDefault="00D862C4" w:rsidP="00D862C4">
            <w:pPr>
              <w:rPr>
                <w:b/>
                <w:bCs/>
                <w:sz w:val="24"/>
                <w:szCs w:val="24"/>
              </w:rPr>
            </w:pPr>
            <w:r w:rsidRPr="00D862C4">
              <w:rPr>
                <w:b/>
                <w:bCs/>
                <w:sz w:val="24"/>
                <w:szCs w:val="24"/>
              </w:rPr>
              <w:t xml:space="preserve">Amount £ </w:t>
            </w:r>
          </w:p>
        </w:tc>
      </w:tr>
      <w:tr w:rsidR="00D862C4" w:rsidRPr="00D862C4" w14:paraId="3E6D6BFB" w14:textId="77777777" w:rsidTr="00D862C4">
        <w:tblPrEx>
          <w:tblCellMar>
            <w:top w:w="0" w:type="dxa"/>
            <w:bottom w:w="0" w:type="dxa"/>
          </w:tblCellMar>
        </w:tblPrEx>
        <w:trPr>
          <w:trHeight w:val="166"/>
        </w:trPr>
        <w:tc>
          <w:tcPr>
            <w:tcW w:w="1951" w:type="dxa"/>
            <w:tcBorders>
              <w:top w:val="none" w:sz="6" w:space="0" w:color="auto"/>
              <w:bottom w:val="none" w:sz="6" w:space="0" w:color="auto"/>
              <w:right w:val="none" w:sz="6" w:space="0" w:color="auto"/>
            </w:tcBorders>
          </w:tcPr>
          <w:p w14:paraId="349E0D62" w14:textId="77777777" w:rsidR="00D862C4" w:rsidRPr="00D862C4" w:rsidRDefault="00D862C4" w:rsidP="00D862C4">
            <w:pPr>
              <w:rPr>
                <w:b/>
                <w:bCs/>
                <w:sz w:val="24"/>
                <w:szCs w:val="24"/>
              </w:rPr>
            </w:pPr>
            <w:r w:rsidRPr="00D862C4">
              <w:rPr>
                <w:b/>
                <w:bCs/>
                <w:sz w:val="24"/>
                <w:szCs w:val="24"/>
              </w:rPr>
              <w:t xml:space="preserve">January 2025 </w:t>
            </w:r>
          </w:p>
        </w:tc>
        <w:tc>
          <w:tcPr>
            <w:tcW w:w="1418" w:type="dxa"/>
            <w:tcBorders>
              <w:top w:val="none" w:sz="6" w:space="0" w:color="auto"/>
              <w:left w:val="none" w:sz="6" w:space="0" w:color="auto"/>
              <w:bottom w:val="none" w:sz="6" w:space="0" w:color="auto"/>
            </w:tcBorders>
          </w:tcPr>
          <w:p w14:paraId="2E744AFC" w14:textId="77777777" w:rsidR="00D862C4" w:rsidRPr="00D862C4" w:rsidRDefault="00D862C4" w:rsidP="00D862C4">
            <w:pPr>
              <w:rPr>
                <w:b/>
                <w:bCs/>
                <w:sz w:val="24"/>
                <w:szCs w:val="24"/>
              </w:rPr>
            </w:pPr>
            <w:r w:rsidRPr="00D862C4">
              <w:rPr>
                <w:b/>
                <w:bCs/>
                <w:sz w:val="24"/>
                <w:szCs w:val="24"/>
              </w:rPr>
              <w:t xml:space="preserve">104.49 </w:t>
            </w:r>
          </w:p>
        </w:tc>
      </w:tr>
      <w:tr w:rsidR="00D862C4" w:rsidRPr="00D862C4" w14:paraId="6639EC04" w14:textId="77777777" w:rsidTr="00D862C4">
        <w:tblPrEx>
          <w:tblCellMar>
            <w:top w:w="0" w:type="dxa"/>
            <w:bottom w:w="0" w:type="dxa"/>
          </w:tblCellMar>
        </w:tblPrEx>
        <w:trPr>
          <w:trHeight w:val="166"/>
        </w:trPr>
        <w:tc>
          <w:tcPr>
            <w:tcW w:w="1951" w:type="dxa"/>
            <w:tcBorders>
              <w:top w:val="none" w:sz="6" w:space="0" w:color="auto"/>
              <w:bottom w:val="none" w:sz="6" w:space="0" w:color="auto"/>
              <w:right w:val="none" w:sz="6" w:space="0" w:color="auto"/>
            </w:tcBorders>
          </w:tcPr>
          <w:p w14:paraId="06D44C23" w14:textId="77777777" w:rsidR="00D862C4" w:rsidRPr="00D862C4" w:rsidRDefault="00D862C4" w:rsidP="00D862C4">
            <w:pPr>
              <w:rPr>
                <w:b/>
                <w:bCs/>
                <w:sz w:val="24"/>
                <w:szCs w:val="24"/>
              </w:rPr>
            </w:pPr>
            <w:r w:rsidRPr="00D862C4">
              <w:rPr>
                <w:b/>
                <w:bCs/>
                <w:sz w:val="24"/>
                <w:szCs w:val="24"/>
              </w:rPr>
              <w:t xml:space="preserve">February 2025 </w:t>
            </w:r>
          </w:p>
        </w:tc>
        <w:tc>
          <w:tcPr>
            <w:tcW w:w="1418" w:type="dxa"/>
            <w:tcBorders>
              <w:top w:val="none" w:sz="6" w:space="0" w:color="auto"/>
              <w:left w:val="none" w:sz="6" w:space="0" w:color="auto"/>
              <w:bottom w:val="none" w:sz="6" w:space="0" w:color="auto"/>
            </w:tcBorders>
          </w:tcPr>
          <w:p w14:paraId="197986ED" w14:textId="77777777" w:rsidR="00D862C4" w:rsidRPr="00D862C4" w:rsidRDefault="00D862C4" w:rsidP="00D862C4">
            <w:pPr>
              <w:rPr>
                <w:b/>
                <w:bCs/>
                <w:sz w:val="24"/>
                <w:szCs w:val="24"/>
              </w:rPr>
            </w:pPr>
            <w:r w:rsidRPr="00D862C4">
              <w:rPr>
                <w:b/>
                <w:bCs/>
                <w:sz w:val="24"/>
                <w:szCs w:val="24"/>
              </w:rPr>
              <w:t xml:space="preserve">150.00 </w:t>
            </w:r>
          </w:p>
        </w:tc>
      </w:tr>
      <w:tr w:rsidR="00D862C4" w:rsidRPr="00D862C4" w14:paraId="487580E9" w14:textId="77777777" w:rsidTr="00D862C4">
        <w:tblPrEx>
          <w:tblCellMar>
            <w:top w:w="0" w:type="dxa"/>
            <w:bottom w:w="0" w:type="dxa"/>
          </w:tblCellMar>
        </w:tblPrEx>
        <w:trPr>
          <w:trHeight w:val="166"/>
        </w:trPr>
        <w:tc>
          <w:tcPr>
            <w:tcW w:w="1951" w:type="dxa"/>
            <w:tcBorders>
              <w:top w:val="none" w:sz="6" w:space="0" w:color="auto"/>
              <w:bottom w:val="none" w:sz="6" w:space="0" w:color="auto"/>
              <w:right w:val="none" w:sz="6" w:space="0" w:color="auto"/>
            </w:tcBorders>
          </w:tcPr>
          <w:p w14:paraId="57203EF3" w14:textId="77777777" w:rsidR="00D862C4" w:rsidRPr="00D862C4" w:rsidRDefault="00D862C4" w:rsidP="00D862C4">
            <w:pPr>
              <w:rPr>
                <w:b/>
                <w:bCs/>
                <w:sz w:val="24"/>
                <w:szCs w:val="24"/>
              </w:rPr>
            </w:pPr>
            <w:r w:rsidRPr="00D862C4">
              <w:rPr>
                <w:b/>
                <w:bCs/>
                <w:sz w:val="24"/>
                <w:szCs w:val="24"/>
              </w:rPr>
              <w:t xml:space="preserve">March 2025 </w:t>
            </w:r>
          </w:p>
        </w:tc>
        <w:tc>
          <w:tcPr>
            <w:tcW w:w="1418" w:type="dxa"/>
            <w:tcBorders>
              <w:top w:val="none" w:sz="6" w:space="0" w:color="auto"/>
              <w:left w:val="none" w:sz="6" w:space="0" w:color="auto"/>
              <w:bottom w:val="none" w:sz="6" w:space="0" w:color="auto"/>
            </w:tcBorders>
          </w:tcPr>
          <w:p w14:paraId="0B1BE6E4" w14:textId="77777777" w:rsidR="00D862C4" w:rsidRPr="00D862C4" w:rsidRDefault="00D862C4" w:rsidP="00D862C4">
            <w:pPr>
              <w:rPr>
                <w:b/>
                <w:bCs/>
                <w:sz w:val="24"/>
                <w:szCs w:val="24"/>
              </w:rPr>
            </w:pPr>
            <w:r w:rsidRPr="00D862C4">
              <w:rPr>
                <w:b/>
                <w:bCs/>
                <w:sz w:val="24"/>
                <w:szCs w:val="24"/>
              </w:rPr>
              <w:t xml:space="preserve">553.99 </w:t>
            </w:r>
          </w:p>
        </w:tc>
      </w:tr>
      <w:tr w:rsidR="00D862C4" w:rsidRPr="00D862C4" w14:paraId="745970E2" w14:textId="77777777" w:rsidTr="00D862C4">
        <w:tblPrEx>
          <w:tblCellMar>
            <w:top w:w="0" w:type="dxa"/>
            <w:bottom w:w="0" w:type="dxa"/>
          </w:tblCellMar>
        </w:tblPrEx>
        <w:trPr>
          <w:trHeight w:val="166"/>
        </w:trPr>
        <w:tc>
          <w:tcPr>
            <w:tcW w:w="1951" w:type="dxa"/>
            <w:tcBorders>
              <w:top w:val="none" w:sz="6" w:space="0" w:color="auto"/>
              <w:bottom w:val="none" w:sz="6" w:space="0" w:color="auto"/>
              <w:right w:val="none" w:sz="6" w:space="0" w:color="auto"/>
            </w:tcBorders>
          </w:tcPr>
          <w:p w14:paraId="5EDF3A71" w14:textId="77777777" w:rsidR="00D862C4" w:rsidRPr="00D862C4" w:rsidRDefault="00D862C4" w:rsidP="00D862C4">
            <w:pPr>
              <w:rPr>
                <w:b/>
                <w:bCs/>
                <w:sz w:val="24"/>
                <w:szCs w:val="24"/>
              </w:rPr>
            </w:pPr>
            <w:r w:rsidRPr="00D862C4">
              <w:rPr>
                <w:b/>
                <w:bCs/>
                <w:sz w:val="24"/>
                <w:szCs w:val="24"/>
              </w:rPr>
              <w:t xml:space="preserve">April 2025 </w:t>
            </w:r>
          </w:p>
        </w:tc>
        <w:tc>
          <w:tcPr>
            <w:tcW w:w="1418" w:type="dxa"/>
            <w:tcBorders>
              <w:top w:val="none" w:sz="6" w:space="0" w:color="auto"/>
              <w:left w:val="none" w:sz="6" w:space="0" w:color="auto"/>
              <w:bottom w:val="none" w:sz="6" w:space="0" w:color="auto"/>
            </w:tcBorders>
          </w:tcPr>
          <w:p w14:paraId="34D1EC0D" w14:textId="77777777" w:rsidR="00D862C4" w:rsidRPr="00D862C4" w:rsidRDefault="00D862C4" w:rsidP="00D862C4">
            <w:pPr>
              <w:rPr>
                <w:b/>
                <w:bCs/>
                <w:sz w:val="24"/>
                <w:szCs w:val="24"/>
              </w:rPr>
            </w:pPr>
            <w:r w:rsidRPr="00D862C4">
              <w:rPr>
                <w:b/>
                <w:bCs/>
                <w:sz w:val="24"/>
                <w:szCs w:val="24"/>
              </w:rPr>
              <w:t xml:space="preserve">460.00 </w:t>
            </w:r>
          </w:p>
        </w:tc>
      </w:tr>
      <w:tr w:rsidR="00D862C4" w:rsidRPr="00D862C4" w14:paraId="4B202614" w14:textId="77777777" w:rsidTr="00D862C4">
        <w:tblPrEx>
          <w:tblCellMar>
            <w:top w:w="0" w:type="dxa"/>
            <w:bottom w:w="0" w:type="dxa"/>
          </w:tblCellMar>
        </w:tblPrEx>
        <w:trPr>
          <w:trHeight w:val="166"/>
        </w:trPr>
        <w:tc>
          <w:tcPr>
            <w:tcW w:w="1951" w:type="dxa"/>
            <w:tcBorders>
              <w:top w:val="none" w:sz="6" w:space="0" w:color="auto"/>
              <w:bottom w:val="none" w:sz="6" w:space="0" w:color="auto"/>
              <w:right w:val="none" w:sz="6" w:space="0" w:color="auto"/>
            </w:tcBorders>
          </w:tcPr>
          <w:p w14:paraId="264C76DA" w14:textId="77777777" w:rsidR="00D862C4" w:rsidRPr="00D862C4" w:rsidRDefault="00D862C4" w:rsidP="00D862C4">
            <w:pPr>
              <w:rPr>
                <w:b/>
                <w:bCs/>
                <w:sz w:val="24"/>
                <w:szCs w:val="24"/>
              </w:rPr>
            </w:pPr>
            <w:r w:rsidRPr="00D862C4">
              <w:rPr>
                <w:b/>
                <w:bCs/>
                <w:sz w:val="24"/>
                <w:szCs w:val="24"/>
              </w:rPr>
              <w:t xml:space="preserve">June 2025 </w:t>
            </w:r>
          </w:p>
        </w:tc>
        <w:tc>
          <w:tcPr>
            <w:tcW w:w="1418" w:type="dxa"/>
            <w:tcBorders>
              <w:top w:val="none" w:sz="6" w:space="0" w:color="auto"/>
              <w:left w:val="none" w:sz="6" w:space="0" w:color="auto"/>
              <w:bottom w:val="none" w:sz="6" w:space="0" w:color="auto"/>
            </w:tcBorders>
          </w:tcPr>
          <w:p w14:paraId="5E7860A3" w14:textId="77777777" w:rsidR="00D862C4" w:rsidRPr="00D862C4" w:rsidRDefault="00D862C4" w:rsidP="00D862C4">
            <w:pPr>
              <w:rPr>
                <w:b/>
                <w:bCs/>
                <w:sz w:val="24"/>
                <w:szCs w:val="24"/>
              </w:rPr>
            </w:pPr>
            <w:r w:rsidRPr="00D862C4">
              <w:rPr>
                <w:b/>
                <w:bCs/>
                <w:sz w:val="24"/>
                <w:szCs w:val="24"/>
              </w:rPr>
              <w:t xml:space="preserve">762.29 </w:t>
            </w:r>
          </w:p>
        </w:tc>
      </w:tr>
      <w:tr w:rsidR="00D862C4" w:rsidRPr="00D862C4" w14:paraId="19FADC3E" w14:textId="77777777" w:rsidTr="00D862C4">
        <w:tblPrEx>
          <w:tblCellMar>
            <w:top w:w="0" w:type="dxa"/>
            <w:bottom w:w="0" w:type="dxa"/>
          </w:tblCellMar>
        </w:tblPrEx>
        <w:trPr>
          <w:trHeight w:val="312"/>
        </w:trPr>
        <w:tc>
          <w:tcPr>
            <w:tcW w:w="1951" w:type="dxa"/>
            <w:tcBorders>
              <w:top w:val="none" w:sz="6" w:space="0" w:color="auto"/>
              <w:bottom w:val="none" w:sz="6" w:space="0" w:color="auto"/>
              <w:right w:val="none" w:sz="6" w:space="0" w:color="auto"/>
            </w:tcBorders>
          </w:tcPr>
          <w:p w14:paraId="2B61B771" w14:textId="77777777" w:rsidR="00D862C4" w:rsidRPr="00D862C4" w:rsidRDefault="00D862C4" w:rsidP="00D862C4">
            <w:pPr>
              <w:rPr>
                <w:b/>
                <w:bCs/>
                <w:sz w:val="24"/>
                <w:szCs w:val="24"/>
              </w:rPr>
            </w:pPr>
            <w:r w:rsidRPr="00D862C4">
              <w:rPr>
                <w:b/>
                <w:bCs/>
                <w:sz w:val="24"/>
                <w:szCs w:val="24"/>
              </w:rPr>
              <w:t xml:space="preserve">November 2025 </w:t>
            </w:r>
          </w:p>
        </w:tc>
        <w:tc>
          <w:tcPr>
            <w:tcW w:w="1418" w:type="dxa"/>
            <w:tcBorders>
              <w:top w:val="none" w:sz="6" w:space="0" w:color="auto"/>
              <w:left w:val="none" w:sz="6" w:space="0" w:color="auto"/>
              <w:bottom w:val="none" w:sz="6" w:space="0" w:color="auto"/>
            </w:tcBorders>
          </w:tcPr>
          <w:p w14:paraId="5EC72C49" w14:textId="77777777" w:rsidR="00D862C4" w:rsidRPr="00D862C4" w:rsidRDefault="00D862C4" w:rsidP="00D862C4">
            <w:pPr>
              <w:rPr>
                <w:b/>
                <w:bCs/>
                <w:sz w:val="24"/>
                <w:szCs w:val="24"/>
              </w:rPr>
            </w:pPr>
            <w:r w:rsidRPr="00D862C4">
              <w:rPr>
                <w:b/>
                <w:bCs/>
                <w:sz w:val="24"/>
                <w:szCs w:val="24"/>
              </w:rPr>
              <w:t xml:space="preserve">214.99 </w:t>
            </w:r>
          </w:p>
        </w:tc>
      </w:tr>
    </w:tbl>
    <w:p w14:paraId="20F2F8EE" w14:textId="6F73DD5E" w:rsidR="00D862C4" w:rsidRPr="00D862C4" w:rsidRDefault="00D862C4" w:rsidP="00D862C4">
      <w:pPr>
        <w:rPr>
          <w:b/>
          <w:bCs/>
        </w:rPr>
      </w:pPr>
      <w:r w:rsidRPr="00D862C4">
        <w:t>2.</w:t>
      </w:r>
      <w:r w:rsidRPr="00D862C4">
        <w:rPr>
          <w:b/>
          <w:bCs/>
        </w:rPr>
        <w:t xml:space="preserve"> </w:t>
      </w:r>
      <w:r w:rsidRPr="00D862C4">
        <w:t>The value of subsistence expenses claimed by the CEO associated with these hotel bookings, by month</w:t>
      </w:r>
      <w:r w:rsidRPr="00D862C4">
        <w:rPr>
          <w:b/>
          <w:bCs/>
        </w:rPr>
        <w:t xml:space="preserve">. £0 </w:t>
      </w:r>
    </w:p>
    <w:p w14:paraId="24448260" w14:textId="77777777" w:rsidR="00D862C4" w:rsidRPr="00D862C4" w:rsidRDefault="00D862C4" w:rsidP="00D862C4">
      <w:pPr>
        <w:rPr>
          <w:b/>
          <w:bCs/>
        </w:rPr>
      </w:pPr>
      <w:r w:rsidRPr="00D862C4">
        <w:t>3. Can you also provide the same data for the period Dec 2023 to Nov 2024 for the former CEO, Chris Brace</w:t>
      </w:r>
      <w:r w:rsidRPr="00D862C4">
        <w:rPr>
          <w:b/>
          <w:bCs/>
        </w:rPr>
        <w:t xml:space="preserve">. £0 </w:t>
      </w:r>
    </w:p>
    <w:p w14:paraId="734A7463" w14:textId="77777777" w:rsidR="00D862C4" w:rsidRPr="00D862C4" w:rsidRDefault="00D862C4" w:rsidP="00D862C4">
      <w:pPr>
        <w:rPr>
          <w:b/>
          <w:bCs/>
        </w:rPr>
      </w:pPr>
      <w:r w:rsidRPr="00D862C4">
        <w:t>4. The cost to refurbish and refit Roseann House ahead of the Office of the PCC's relocation.</w:t>
      </w:r>
      <w:r w:rsidRPr="00D862C4">
        <w:rPr>
          <w:b/>
          <w:bCs/>
        </w:rPr>
        <w:t xml:space="preserve"> £154,279.08* </w:t>
      </w:r>
    </w:p>
    <w:p w14:paraId="1C89613F" w14:textId="0A60002A" w:rsidR="00C74BE7" w:rsidRDefault="00D862C4" w:rsidP="00D862C4">
      <w:pPr>
        <w:rPr>
          <w:b/>
          <w:bCs/>
        </w:rPr>
      </w:pPr>
      <w:r w:rsidRPr="00D862C4">
        <w:rPr>
          <w:b/>
          <w:bCs/>
          <w:i/>
          <w:iCs/>
        </w:rPr>
        <w:t>*Please note the OPCC moved into Rosanne House, an empty building the Constabulary remained contracted to until March 2029. The move is expected to deliver net savings of around £76k–£135k, after factoring in the required £154,279 investment to adapt Rosanne House. Around 50% of the building-works element would have been incurred anyway at the end of the lease when returning the space to the freeholder in open-plan condition, and a further £26k linked to the HVAC system can be recovered later—though neither of these offsets is included in the net savings figure expected. Once OPCC moves to the new headquarters in 2026, the improvements made will also allow the Constabulary to generate rental income for the remainder of the lease, further strengthening the net savings position.</w:t>
      </w:r>
    </w:p>
    <w:sectPr w:rsidR="00C74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32B6D"/>
    <w:multiLevelType w:val="multilevel"/>
    <w:tmpl w:val="61DCB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81557"/>
    <w:multiLevelType w:val="multilevel"/>
    <w:tmpl w:val="BE823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60F10"/>
    <w:multiLevelType w:val="multilevel"/>
    <w:tmpl w:val="06985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0F5D2C"/>
    <w:multiLevelType w:val="multilevel"/>
    <w:tmpl w:val="30825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03CF6"/>
    <w:multiLevelType w:val="multilevel"/>
    <w:tmpl w:val="DAD83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AA4504"/>
    <w:multiLevelType w:val="multilevel"/>
    <w:tmpl w:val="CE8EC51E"/>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Aptos" w:eastAsia="Aptos" w:hAnsi="Aptos" w:cs="Times New Roman" w:hint="default"/>
        <w: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960897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527969">
    <w:abstractNumId w:val="3"/>
  </w:num>
  <w:num w:numId="3" w16cid:durableId="2015720325">
    <w:abstractNumId w:val="4"/>
  </w:num>
  <w:num w:numId="4" w16cid:durableId="728923702">
    <w:abstractNumId w:val="0"/>
  </w:num>
  <w:num w:numId="5" w16cid:durableId="410321349">
    <w:abstractNumId w:val="2"/>
  </w:num>
  <w:num w:numId="6" w16cid:durableId="1376926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3B5E"/>
    <w:rsid w:val="00024CD4"/>
    <w:rsid w:val="0008758C"/>
    <w:rsid w:val="000A1C13"/>
    <w:rsid w:val="000B5AB2"/>
    <w:rsid w:val="000D2823"/>
    <w:rsid w:val="000E3B5E"/>
    <w:rsid w:val="0054391A"/>
    <w:rsid w:val="005B2D46"/>
    <w:rsid w:val="00655DE6"/>
    <w:rsid w:val="00745A8B"/>
    <w:rsid w:val="00802341"/>
    <w:rsid w:val="0097731F"/>
    <w:rsid w:val="00A927E9"/>
    <w:rsid w:val="00C74BE7"/>
    <w:rsid w:val="00CB6470"/>
    <w:rsid w:val="00CE31EE"/>
    <w:rsid w:val="00D862C4"/>
    <w:rsid w:val="00F3725F"/>
    <w:rsid w:val="00F816C2"/>
    <w:rsid w:val="00FB4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383D"/>
  <w15:chartTrackingRefBased/>
  <w15:docId w15:val="{C415AB14-8799-46F4-A465-70903A20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B5E"/>
    <w:rPr>
      <w:rFonts w:eastAsiaTheme="majorEastAsia" w:cstheme="majorBidi"/>
      <w:color w:val="272727" w:themeColor="text1" w:themeTint="D8"/>
    </w:rPr>
  </w:style>
  <w:style w:type="paragraph" w:styleId="Title">
    <w:name w:val="Title"/>
    <w:basedOn w:val="Normal"/>
    <w:next w:val="Normal"/>
    <w:link w:val="TitleChar"/>
    <w:uiPriority w:val="10"/>
    <w:qFormat/>
    <w:rsid w:val="000E3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B5E"/>
    <w:pPr>
      <w:spacing w:before="160"/>
      <w:jc w:val="center"/>
    </w:pPr>
    <w:rPr>
      <w:i/>
      <w:iCs/>
      <w:color w:val="404040" w:themeColor="text1" w:themeTint="BF"/>
    </w:rPr>
  </w:style>
  <w:style w:type="character" w:customStyle="1" w:styleId="QuoteChar">
    <w:name w:val="Quote Char"/>
    <w:basedOn w:val="DefaultParagraphFont"/>
    <w:link w:val="Quote"/>
    <w:uiPriority w:val="29"/>
    <w:rsid w:val="000E3B5E"/>
    <w:rPr>
      <w:i/>
      <w:iCs/>
      <w:color w:val="404040" w:themeColor="text1" w:themeTint="BF"/>
    </w:rPr>
  </w:style>
  <w:style w:type="paragraph" w:styleId="ListParagraph">
    <w:name w:val="List Paragraph"/>
    <w:basedOn w:val="Normal"/>
    <w:uiPriority w:val="34"/>
    <w:qFormat/>
    <w:rsid w:val="000E3B5E"/>
    <w:pPr>
      <w:ind w:left="720"/>
      <w:contextualSpacing/>
    </w:pPr>
  </w:style>
  <w:style w:type="character" w:styleId="IntenseEmphasis">
    <w:name w:val="Intense Emphasis"/>
    <w:basedOn w:val="DefaultParagraphFont"/>
    <w:uiPriority w:val="21"/>
    <w:qFormat/>
    <w:rsid w:val="000E3B5E"/>
    <w:rPr>
      <w:i/>
      <w:iCs/>
      <w:color w:val="0F4761" w:themeColor="accent1" w:themeShade="BF"/>
    </w:rPr>
  </w:style>
  <w:style w:type="paragraph" w:styleId="IntenseQuote">
    <w:name w:val="Intense Quote"/>
    <w:basedOn w:val="Normal"/>
    <w:next w:val="Normal"/>
    <w:link w:val="IntenseQuoteChar"/>
    <w:uiPriority w:val="30"/>
    <w:qFormat/>
    <w:rsid w:val="000E3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B5E"/>
    <w:rPr>
      <w:i/>
      <w:iCs/>
      <w:color w:val="0F4761" w:themeColor="accent1" w:themeShade="BF"/>
    </w:rPr>
  </w:style>
  <w:style w:type="character" w:styleId="IntenseReference">
    <w:name w:val="Intense Reference"/>
    <w:basedOn w:val="DefaultParagraphFont"/>
    <w:uiPriority w:val="32"/>
    <w:qFormat/>
    <w:rsid w:val="000E3B5E"/>
    <w:rPr>
      <w:b/>
      <w:bCs/>
      <w:smallCaps/>
      <w:color w:val="0F4761" w:themeColor="accent1" w:themeShade="BF"/>
      <w:spacing w:val="5"/>
    </w:rPr>
  </w:style>
  <w:style w:type="table" w:styleId="TableGrid">
    <w:name w:val="Table Grid"/>
    <w:basedOn w:val="TableNormal"/>
    <w:uiPriority w:val="39"/>
    <w:rsid w:val="0054391A"/>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27E9"/>
    <w:rPr>
      <w:color w:val="467886" w:themeColor="hyperlink"/>
      <w:u w:val="single"/>
    </w:rPr>
  </w:style>
  <w:style w:type="character" w:styleId="UnresolvedMention">
    <w:name w:val="Unresolved Mention"/>
    <w:basedOn w:val="DefaultParagraphFont"/>
    <w:uiPriority w:val="99"/>
    <w:semiHidden/>
    <w:unhideWhenUsed/>
    <w:rsid w:val="00A927E9"/>
    <w:rPr>
      <w:color w:val="605E5C"/>
      <w:shd w:val="clear" w:color="auto" w:fill="E1DFDD"/>
    </w:rPr>
  </w:style>
  <w:style w:type="character" w:styleId="FollowedHyperlink">
    <w:name w:val="FollowedHyperlink"/>
    <w:basedOn w:val="DefaultParagraphFont"/>
    <w:uiPriority w:val="99"/>
    <w:semiHidden/>
    <w:unhideWhenUsed/>
    <w:rsid w:val="00C74BE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05e69d8b1084b1c86320c5205aa81f8 xmlns="dbffcf6f-30f0-43d5-80f2-6ce15d07c00c">
      <Terms xmlns="http://schemas.microsoft.com/office/infopath/2007/PartnerControls"/>
    </c05e69d8b1084b1c86320c5205aa81f8>
    <TaxCatchAll xmlns="dbffcf6f-30f0-43d5-80f2-6ce15d07c00c" xsi:nil="true"/>
    <lcf76f155ced4ddcb4097134ff3c332f xmlns="107aefa1-1adb-49cd-a559-d62c8008c2e1">
      <Terms xmlns="http://schemas.microsoft.com/office/infopath/2007/PartnerControls"/>
    </lcf76f155ced4ddcb4097134ff3c332f>
    <_dlc_DocId xmlns="dbffcf6f-30f0-43d5-80f2-6ce15d07c00c">KKT3KHUSA3NS-1713769362-96588</_dlc_DocId>
    <_dlc_DocIdUrl xmlns="dbffcf6f-30f0-43d5-80f2-6ce15d07c00c">
      <Url>https://bchpolice.sharepoint.com/sites/teamhopccihl/_layouts/15/DocIdRedir.aspx?ID=KKT3KHUSA3NS-1713769362-96588</Url>
      <Description>KKT3KHUSA3NS-1713769362-96588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41A49F54D046F8438317F0A83B6515C0" ma:contentTypeVersion="11" ma:contentTypeDescription="Create a new document." ma:contentTypeScope="" ma:versionID="70fb100f2ecb3c190fcd928c59cb53b1">
  <xsd:schema xmlns:xsd="http://www.w3.org/2001/XMLSchema" xmlns:xs="http://www.w3.org/2001/XMLSchema" xmlns:p="http://schemas.microsoft.com/office/2006/metadata/properties" xmlns:ns2="dbffcf6f-30f0-43d5-80f2-6ce15d07c00c" xmlns:ns3="107aefa1-1adb-49cd-a559-d62c8008c2e1" targetNamespace="http://schemas.microsoft.com/office/2006/metadata/properties" ma:root="true" ma:fieldsID="2dd3da4adfcb4f4f30481ef26c69b91a" ns2:_="" ns3:_="">
    <xsd:import namespace="dbffcf6f-30f0-43d5-80f2-6ce15d07c00c"/>
    <xsd:import namespace="107aefa1-1adb-49cd-a559-d62c8008c2e1"/>
    <xsd:element name="properties">
      <xsd:complexType>
        <xsd:sequence>
          <xsd:element name="documentManagement">
            <xsd:complexType>
              <xsd:all>
                <xsd:element ref="ns2:_dlc_DocId" minOccurs="0"/>
                <xsd:element ref="ns2:_dlc_DocIdUrl" minOccurs="0"/>
                <xsd:element ref="ns2:_dlc_DocIdPersistId" minOccurs="0"/>
                <xsd:element ref="ns2:c05e69d8b1084b1c86320c5205aa81f8" minOccurs="0"/>
                <xsd:element ref="ns2:TaxCatchAll" minOccurs="0"/>
                <xsd:element ref="ns2:TaxCatchAllLabel"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cf6f-30f0-43d5-80f2-6ce15d07c0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05e69d8b1084b1c86320c5205aa81f8" ma:index="11" nillable="true" ma:taxonomy="true" ma:internalName="c05e69d8b1084b1c86320c5205aa81f8" ma:taxonomyFieldName="ForceDepartment" ma:displayName="Department" ma:fieldId="{c05e69d8-b108-4b1c-8632-0c5205aa81f8}" ma:sspId="da724a42-61fa-4bda-b565-a747fb8ee79c" ma:termSetId="82bed8ce-cc47-44cc-88d0-6118cbe60a7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6a40017-c27f-4d46-b0e9-e0195efdfbb6}" ma:internalName="TaxCatchAll" ma:showField="CatchAllData" ma:web="dbffcf6f-30f0-43d5-80f2-6ce15d07c00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6a40017-c27f-4d46-b0e9-e0195efdfbb6}" ma:internalName="TaxCatchAllLabel" ma:readOnly="true" ma:showField="CatchAllDataLabel" ma:web="dbffcf6f-30f0-43d5-80f2-6ce15d07c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aefa1-1adb-49cd-a559-d62c8008c2e1"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724a42-61fa-4bda-b565-a747fb8ee79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35479-9526-43BB-BE26-713C8121E6DB}">
  <ds:schemaRefs>
    <ds:schemaRef ds:uri="http://schemas.microsoft.com/office/2006/metadata/properties"/>
    <ds:schemaRef ds:uri="http://schemas.microsoft.com/office/infopath/2007/PartnerControls"/>
    <ds:schemaRef ds:uri="dbffcf6f-30f0-43d5-80f2-6ce15d07c00c"/>
    <ds:schemaRef ds:uri="107aefa1-1adb-49cd-a559-d62c8008c2e1"/>
  </ds:schemaRefs>
</ds:datastoreItem>
</file>

<file path=customXml/itemProps2.xml><?xml version="1.0" encoding="utf-8"?>
<ds:datastoreItem xmlns:ds="http://schemas.openxmlformats.org/officeDocument/2006/customXml" ds:itemID="{F0A09AED-226A-44BB-9608-E4ADE39DC5E4}">
  <ds:schemaRefs>
    <ds:schemaRef ds:uri="http://schemas.microsoft.com/sharepoint/v3/contenttype/forms"/>
  </ds:schemaRefs>
</ds:datastoreItem>
</file>

<file path=customXml/itemProps3.xml><?xml version="1.0" encoding="utf-8"?>
<ds:datastoreItem xmlns:ds="http://schemas.openxmlformats.org/officeDocument/2006/customXml" ds:itemID="{6DEF3007-2CEA-4565-8A1C-5C01AFC2D32C}">
  <ds:schemaRefs>
    <ds:schemaRef ds:uri="http://schemas.microsoft.com/sharepoint/events"/>
  </ds:schemaRefs>
</ds:datastoreItem>
</file>

<file path=customXml/itemProps4.xml><?xml version="1.0" encoding="utf-8"?>
<ds:datastoreItem xmlns:ds="http://schemas.openxmlformats.org/officeDocument/2006/customXml" ds:itemID="{179AAC17-6391-45B8-9563-81566E2C5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cf6f-30f0-43d5-80f2-6ce15d07c00c"/>
    <ds:schemaRef ds:uri="107aefa1-1adb-49cd-a559-d62c8008c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1650</Characters>
  <Application>Microsoft Office Word</Application>
  <DocSecurity>0</DocSecurity>
  <Lines>117</Lines>
  <Paragraphs>93</Paragraphs>
  <ScaleCrop>false</ScaleCrop>
  <HeadingPairs>
    <vt:vector size="2" baseType="variant">
      <vt:variant>
        <vt:lpstr>Title</vt:lpstr>
      </vt:variant>
      <vt:variant>
        <vt:i4>1</vt:i4>
      </vt:variant>
    </vt:vector>
  </HeadingPairs>
  <TitlesOfParts>
    <vt:vector size="1" baseType="lpstr">
      <vt:lpstr/>
    </vt:vector>
  </TitlesOfParts>
  <Company>BCH</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SMYLEY, Keeley 7026</dc:creator>
  <cp:keywords/>
  <dc:description/>
  <cp:lastModifiedBy>SMYLEY, Keeley 7026</cp:lastModifiedBy>
  <cp:revision>2</cp:revision>
  <dcterms:created xsi:type="dcterms:W3CDTF">2026-03-06T14:04:00Z</dcterms:created>
  <dcterms:modified xsi:type="dcterms:W3CDTF">2026-03-06T14:04:00Z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2026-03-06T11:49:34Z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2cc0eb5a-29d8-4747-890c-54f92c90ca9d</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y fmtid="{D5CDD505-2E9C-101B-9397-08002B2CF9AE}" pid="10" name="ContentTypeId">
    <vt:lpwstr>0x010100F27C9619FA46FE41A4759CAFBE5D734A0041A49F54D046F8438317F0A83B6515C0</vt:lpwstr>
  </property>
  <property fmtid="{D5CDD505-2E9C-101B-9397-08002B2CF9AE}" pid="11" name="_ApprovalAssignedTo">
    <vt:lpwstr/>
  </property>
  <property fmtid="{D5CDD505-2E9C-101B-9397-08002B2CF9AE}" pid="12" name="_ApprovalStatus">
    <vt:i4>0</vt:i4>
  </property>
  <property fmtid="{D5CDD505-2E9C-101B-9397-08002B2CF9AE}" pid="13" name="_ApprovalRespondedBy">
    <vt:lpwstr/>
  </property>
  <property fmtid="{D5CDD505-2E9C-101B-9397-08002B2CF9AE}" pid="14" name="_dlc_DocIdItemGuid">
    <vt:lpwstr>bd9dda17-dda3-4c5f-aeef-1c0e8309688a</vt:lpwstr>
  </property>
  <property fmtid="{D5CDD505-2E9C-101B-9397-08002B2CF9AE}" pid="15" name="ForceDepartment">
    <vt:lpwstr/>
  </property>
</Properties>
</file>