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0A3AD46E"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5242E0">
        <w:rPr>
          <w:rFonts w:ascii="Aptos" w:hAnsi="Aptos" w:cstheme="minorHAnsi"/>
          <w:sz w:val="24"/>
          <w:szCs w:val="24"/>
        </w:rPr>
        <w:t>2</w:t>
      </w:r>
      <w:r w:rsidR="00356E66">
        <w:rPr>
          <w:rFonts w:ascii="Aptos" w:hAnsi="Aptos" w:cstheme="minorHAnsi"/>
          <w:sz w:val="24"/>
          <w:szCs w:val="24"/>
        </w:rPr>
        <w:t>6</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66225441" w14:textId="77777777" w:rsidR="00A45197" w:rsidRPr="00A45197" w:rsidRDefault="00A45197" w:rsidP="00A45197">
      <w:pPr>
        <w:pStyle w:val="NoSpacing"/>
        <w:rPr>
          <w:rFonts w:ascii="Aptos" w:hAnsi="Aptos" w:cstheme="minorHAnsi"/>
          <w:sz w:val="24"/>
          <w:szCs w:val="24"/>
        </w:rPr>
      </w:pPr>
    </w:p>
    <w:p w14:paraId="4E071E26" w14:textId="77777777" w:rsidR="00A45197" w:rsidRPr="00A45197" w:rsidRDefault="00A45197" w:rsidP="00A45197">
      <w:pPr>
        <w:pStyle w:val="NoSpacing"/>
        <w:rPr>
          <w:rFonts w:ascii="Aptos" w:hAnsi="Aptos" w:cstheme="minorHAnsi"/>
          <w:b/>
          <w:bCs/>
          <w:sz w:val="24"/>
          <w:szCs w:val="24"/>
        </w:rPr>
      </w:pPr>
      <w:r w:rsidRPr="00A45197">
        <w:rPr>
          <w:rFonts w:ascii="Aptos" w:hAnsi="Aptos" w:cstheme="minorHAnsi"/>
          <w:b/>
          <w:bCs/>
          <w:sz w:val="24"/>
          <w:szCs w:val="24"/>
        </w:rPr>
        <w:t>Hospitality, Gifts, and Declarations</w:t>
      </w:r>
    </w:p>
    <w:p w14:paraId="021C7E29" w14:textId="77777777" w:rsidR="00A45197" w:rsidRPr="00A45197" w:rsidRDefault="00A45197" w:rsidP="00A45197">
      <w:pPr>
        <w:pStyle w:val="NoSpacing"/>
        <w:numPr>
          <w:ilvl w:val="0"/>
          <w:numId w:val="14"/>
        </w:numPr>
        <w:rPr>
          <w:rFonts w:ascii="Aptos" w:hAnsi="Aptos" w:cstheme="minorHAnsi"/>
          <w:b/>
          <w:bCs/>
          <w:sz w:val="24"/>
          <w:szCs w:val="24"/>
        </w:rPr>
      </w:pPr>
      <w:r w:rsidRPr="00A45197">
        <w:rPr>
          <w:rFonts w:ascii="Aptos" w:hAnsi="Aptos" w:cstheme="minorHAnsi"/>
          <w:b/>
          <w:bCs/>
          <w:sz w:val="24"/>
          <w:szCs w:val="24"/>
        </w:rPr>
        <w:t>Does the Police and Crime Commissioner operate a public register of hospitality and gifts received, akin to the declarations required by Members of Parliament?</w:t>
      </w:r>
    </w:p>
    <w:p w14:paraId="1A20A305" w14:textId="77777777" w:rsidR="00A45197" w:rsidRPr="00A45197" w:rsidRDefault="00A45197" w:rsidP="00A45197">
      <w:pPr>
        <w:pStyle w:val="NoSpacing"/>
        <w:rPr>
          <w:rFonts w:ascii="Aptos" w:hAnsi="Aptos" w:cstheme="minorHAnsi"/>
          <w:b/>
          <w:bCs/>
          <w:sz w:val="24"/>
          <w:szCs w:val="24"/>
        </w:rPr>
      </w:pPr>
    </w:p>
    <w:p w14:paraId="711AAC2A"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Yes, the Police and Crime Commissioner does publish a public register of all gifts &amp; hospitality accepted and declined. </w:t>
      </w:r>
    </w:p>
    <w:p w14:paraId="274BC4B1" w14:textId="77777777" w:rsidR="00A45197" w:rsidRPr="00A45197" w:rsidRDefault="00A45197" w:rsidP="00A45197">
      <w:pPr>
        <w:pStyle w:val="NoSpacing"/>
        <w:rPr>
          <w:rFonts w:ascii="Aptos" w:hAnsi="Aptos" w:cstheme="minorHAnsi"/>
          <w:sz w:val="24"/>
          <w:szCs w:val="24"/>
        </w:rPr>
      </w:pPr>
    </w:p>
    <w:p w14:paraId="20C5707A" w14:textId="77777777" w:rsidR="00A45197" w:rsidRPr="00A45197" w:rsidRDefault="00A45197" w:rsidP="00A45197">
      <w:pPr>
        <w:pStyle w:val="NoSpacing"/>
        <w:numPr>
          <w:ilvl w:val="0"/>
          <w:numId w:val="14"/>
        </w:numPr>
        <w:rPr>
          <w:rFonts w:ascii="Aptos" w:hAnsi="Aptos" w:cstheme="minorHAnsi"/>
          <w:b/>
          <w:bCs/>
          <w:sz w:val="24"/>
          <w:szCs w:val="24"/>
        </w:rPr>
      </w:pPr>
      <w:r w:rsidRPr="00A45197">
        <w:rPr>
          <w:rFonts w:ascii="Aptos" w:hAnsi="Aptos" w:cstheme="minorHAnsi"/>
          <w:b/>
          <w:bCs/>
          <w:sz w:val="24"/>
          <w:szCs w:val="24"/>
        </w:rPr>
        <w:t>If yes, please provide a copy of the most recent register of hospitality/gifts, covering at least the past three financial years.</w:t>
      </w:r>
    </w:p>
    <w:p w14:paraId="5178B84F" w14:textId="77777777" w:rsidR="00A45197" w:rsidRPr="00A45197" w:rsidRDefault="00A45197" w:rsidP="00A45197">
      <w:pPr>
        <w:pStyle w:val="NoSpacing"/>
        <w:rPr>
          <w:rFonts w:ascii="Aptos" w:hAnsi="Aptos" w:cstheme="minorHAnsi"/>
          <w:b/>
          <w:bCs/>
          <w:sz w:val="24"/>
          <w:szCs w:val="24"/>
        </w:rPr>
      </w:pPr>
    </w:p>
    <w:p w14:paraId="1F438D30"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I can confirm that the information you have requested is already publicly available on the OPCC website. You can access the published Gifts &amp; Hospitality registers directly via the following link: </w:t>
      </w:r>
      <w:hyperlink r:id="rId7" w:history="1">
        <w:r w:rsidRPr="00A45197">
          <w:rPr>
            <w:rStyle w:val="Hyperlink"/>
            <w:rFonts w:ascii="Aptos" w:hAnsi="Aptos" w:cstheme="minorHAnsi"/>
            <w:sz w:val="24"/>
            <w:szCs w:val="24"/>
          </w:rPr>
          <w:t>Finances</w:t>
        </w:r>
      </w:hyperlink>
      <w:r w:rsidRPr="00A45197">
        <w:rPr>
          <w:rFonts w:ascii="Aptos" w:hAnsi="Aptos" w:cstheme="minorHAnsi"/>
          <w:sz w:val="24"/>
          <w:szCs w:val="24"/>
        </w:rPr>
        <w:t xml:space="preserve"> under the Gifts &amp; Hospitality heading. </w:t>
      </w:r>
    </w:p>
    <w:p w14:paraId="7D8C1FC8"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As the information is accessible by other reasonable means, under Section 21 of the Freedom of Information Act 2000, we are not required to provide it in response to an FOI request. </w:t>
      </w:r>
    </w:p>
    <w:p w14:paraId="03AC4873" w14:textId="77777777" w:rsidR="00A45197" w:rsidRPr="00A45197" w:rsidRDefault="00A45197" w:rsidP="00A45197">
      <w:pPr>
        <w:pStyle w:val="NoSpacing"/>
        <w:rPr>
          <w:rFonts w:ascii="Aptos" w:hAnsi="Aptos" w:cstheme="minorHAnsi"/>
          <w:sz w:val="24"/>
          <w:szCs w:val="24"/>
        </w:rPr>
      </w:pPr>
    </w:p>
    <w:p w14:paraId="036422F2" w14:textId="77777777" w:rsidR="00A45197" w:rsidRPr="00A45197" w:rsidRDefault="00A45197" w:rsidP="00A45197">
      <w:pPr>
        <w:pStyle w:val="NoSpacing"/>
        <w:numPr>
          <w:ilvl w:val="0"/>
          <w:numId w:val="14"/>
        </w:numPr>
        <w:rPr>
          <w:rFonts w:ascii="Aptos" w:hAnsi="Aptos" w:cstheme="minorHAnsi"/>
          <w:b/>
          <w:bCs/>
          <w:sz w:val="24"/>
          <w:szCs w:val="24"/>
        </w:rPr>
      </w:pPr>
      <w:r w:rsidRPr="00A45197">
        <w:rPr>
          <w:rFonts w:ascii="Aptos" w:hAnsi="Aptos" w:cstheme="minorHAnsi"/>
          <w:b/>
          <w:bCs/>
          <w:sz w:val="24"/>
          <w:szCs w:val="24"/>
        </w:rPr>
        <w:t>If such a register exists but is not public, please provide the policy governing its use and publication.</w:t>
      </w:r>
    </w:p>
    <w:p w14:paraId="339D561D" w14:textId="77777777" w:rsidR="00A45197" w:rsidRPr="00A45197" w:rsidRDefault="00A45197" w:rsidP="00A45197">
      <w:pPr>
        <w:pStyle w:val="NoSpacing"/>
        <w:rPr>
          <w:rFonts w:ascii="Aptos" w:hAnsi="Aptos" w:cstheme="minorHAnsi"/>
          <w:b/>
          <w:bCs/>
          <w:sz w:val="24"/>
          <w:szCs w:val="24"/>
        </w:rPr>
      </w:pPr>
    </w:p>
    <w:p w14:paraId="35FD52DA"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No information held.  The register is made public via the OPCC website. </w:t>
      </w:r>
    </w:p>
    <w:p w14:paraId="52605780" w14:textId="77777777" w:rsidR="00A45197" w:rsidRPr="00A45197" w:rsidRDefault="00A45197" w:rsidP="00A45197">
      <w:pPr>
        <w:pStyle w:val="NoSpacing"/>
        <w:rPr>
          <w:rFonts w:ascii="Aptos" w:hAnsi="Aptos" w:cstheme="minorHAnsi"/>
          <w:sz w:val="24"/>
          <w:szCs w:val="24"/>
        </w:rPr>
      </w:pPr>
    </w:p>
    <w:p w14:paraId="5509AF54" w14:textId="77777777" w:rsidR="00A45197" w:rsidRPr="00A45197" w:rsidRDefault="00A45197" w:rsidP="00A45197">
      <w:pPr>
        <w:pStyle w:val="NoSpacing"/>
        <w:numPr>
          <w:ilvl w:val="0"/>
          <w:numId w:val="14"/>
        </w:numPr>
        <w:rPr>
          <w:rFonts w:ascii="Aptos" w:hAnsi="Aptos" w:cstheme="minorHAnsi"/>
          <w:b/>
          <w:bCs/>
          <w:sz w:val="24"/>
          <w:szCs w:val="24"/>
        </w:rPr>
      </w:pPr>
      <w:r w:rsidRPr="00A45197">
        <w:rPr>
          <w:rFonts w:ascii="Aptos" w:hAnsi="Aptos" w:cstheme="minorHAnsi"/>
          <w:b/>
          <w:bCs/>
          <w:sz w:val="24"/>
          <w:szCs w:val="24"/>
        </w:rPr>
        <w:t>Has the Police and Crime Commissioner accepted any hospitality, gifts, tickets, travel expenses, accommodation, or meals from any private individual, organisation, commercial entity, or lobbying group since January 2020?</w:t>
      </w:r>
    </w:p>
    <w:p w14:paraId="6F97FD95" w14:textId="77777777" w:rsidR="00A45197" w:rsidRPr="00A45197" w:rsidRDefault="00A45197" w:rsidP="00A45197">
      <w:pPr>
        <w:pStyle w:val="NoSpacing"/>
        <w:rPr>
          <w:rFonts w:ascii="Aptos" w:hAnsi="Aptos" w:cstheme="minorHAnsi"/>
          <w:b/>
          <w:bCs/>
          <w:sz w:val="24"/>
          <w:szCs w:val="24"/>
        </w:rPr>
      </w:pPr>
    </w:p>
    <w:p w14:paraId="34E835B1"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All information regarding the Police and Crime Commissioner’s accepted or declined Gifts &amp; Hospitality has been published at the link provided above. Therefore, as this information is accessible by other means, under Section 21 of the Freedom of </w:t>
      </w:r>
      <w:r w:rsidRPr="00A45197">
        <w:rPr>
          <w:rFonts w:ascii="Aptos" w:hAnsi="Aptos" w:cstheme="minorHAnsi"/>
          <w:sz w:val="24"/>
          <w:szCs w:val="24"/>
        </w:rPr>
        <w:lastRenderedPageBreak/>
        <w:t xml:space="preserve">Information Act 2000, we are not required to provide it in response to an FOI request. </w:t>
      </w:r>
    </w:p>
    <w:p w14:paraId="4B6084D1" w14:textId="77777777" w:rsidR="00A45197" w:rsidRPr="00A45197" w:rsidRDefault="00A45197" w:rsidP="00A45197">
      <w:pPr>
        <w:pStyle w:val="NoSpacing"/>
        <w:rPr>
          <w:rFonts w:ascii="Aptos" w:hAnsi="Aptos" w:cstheme="minorHAnsi"/>
          <w:sz w:val="24"/>
          <w:szCs w:val="24"/>
        </w:rPr>
      </w:pPr>
    </w:p>
    <w:p w14:paraId="50D424A2" w14:textId="77777777" w:rsidR="00A45197" w:rsidRPr="00A45197" w:rsidRDefault="00A45197" w:rsidP="00A45197">
      <w:pPr>
        <w:pStyle w:val="NoSpacing"/>
        <w:numPr>
          <w:ilvl w:val="0"/>
          <w:numId w:val="14"/>
        </w:numPr>
        <w:rPr>
          <w:rFonts w:ascii="Aptos" w:hAnsi="Aptos" w:cstheme="minorHAnsi"/>
          <w:b/>
          <w:bCs/>
          <w:sz w:val="24"/>
          <w:szCs w:val="24"/>
        </w:rPr>
      </w:pPr>
      <w:r w:rsidRPr="00A45197">
        <w:rPr>
          <w:rFonts w:ascii="Aptos" w:hAnsi="Aptos" w:cstheme="minorHAnsi"/>
          <w:b/>
          <w:bCs/>
          <w:sz w:val="24"/>
          <w:szCs w:val="24"/>
        </w:rPr>
        <w:t>For each instance identified in Q4, please provide:</w:t>
      </w:r>
    </w:p>
    <w:p w14:paraId="758E4B77" w14:textId="77777777" w:rsidR="00A45197" w:rsidRPr="00A45197" w:rsidRDefault="00A45197" w:rsidP="00A45197">
      <w:pPr>
        <w:pStyle w:val="NoSpacing"/>
        <w:numPr>
          <w:ilvl w:val="1"/>
          <w:numId w:val="14"/>
        </w:numPr>
        <w:rPr>
          <w:rFonts w:ascii="Aptos" w:hAnsi="Aptos" w:cstheme="minorHAnsi"/>
          <w:b/>
          <w:bCs/>
          <w:sz w:val="24"/>
          <w:szCs w:val="24"/>
        </w:rPr>
      </w:pPr>
      <w:r w:rsidRPr="00A45197">
        <w:rPr>
          <w:rFonts w:ascii="Aptos" w:hAnsi="Aptos" w:cstheme="minorHAnsi"/>
          <w:b/>
          <w:bCs/>
          <w:sz w:val="24"/>
          <w:szCs w:val="24"/>
        </w:rPr>
        <w:t>Date of acceptance</w:t>
      </w:r>
    </w:p>
    <w:p w14:paraId="6EF214A8" w14:textId="77777777" w:rsidR="00A45197" w:rsidRPr="00A45197" w:rsidRDefault="00A45197" w:rsidP="00A45197">
      <w:pPr>
        <w:pStyle w:val="NoSpacing"/>
        <w:numPr>
          <w:ilvl w:val="1"/>
          <w:numId w:val="14"/>
        </w:numPr>
        <w:rPr>
          <w:rFonts w:ascii="Aptos" w:hAnsi="Aptos" w:cstheme="minorHAnsi"/>
          <w:b/>
          <w:bCs/>
          <w:sz w:val="24"/>
          <w:szCs w:val="24"/>
        </w:rPr>
      </w:pPr>
      <w:r w:rsidRPr="00A45197">
        <w:rPr>
          <w:rFonts w:ascii="Aptos" w:hAnsi="Aptos" w:cstheme="minorHAnsi"/>
          <w:b/>
          <w:bCs/>
          <w:sz w:val="24"/>
          <w:szCs w:val="24"/>
        </w:rPr>
        <w:t>Description of hospitality or gift</w:t>
      </w:r>
    </w:p>
    <w:p w14:paraId="580F57C2" w14:textId="77777777" w:rsidR="00A45197" w:rsidRPr="00A45197" w:rsidRDefault="00A45197" w:rsidP="00A45197">
      <w:pPr>
        <w:pStyle w:val="NoSpacing"/>
        <w:numPr>
          <w:ilvl w:val="1"/>
          <w:numId w:val="14"/>
        </w:numPr>
        <w:rPr>
          <w:rFonts w:ascii="Aptos" w:hAnsi="Aptos" w:cstheme="minorHAnsi"/>
          <w:b/>
          <w:bCs/>
          <w:sz w:val="24"/>
          <w:szCs w:val="24"/>
        </w:rPr>
      </w:pPr>
      <w:r w:rsidRPr="00A45197">
        <w:rPr>
          <w:rFonts w:ascii="Aptos" w:hAnsi="Aptos" w:cstheme="minorHAnsi"/>
          <w:b/>
          <w:bCs/>
          <w:sz w:val="24"/>
          <w:szCs w:val="24"/>
        </w:rPr>
        <w:t>Estimated or declared value</w:t>
      </w:r>
    </w:p>
    <w:p w14:paraId="5FA68883" w14:textId="77777777" w:rsidR="00A45197" w:rsidRPr="00A45197" w:rsidRDefault="00A45197" w:rsidP="00A45197">
      <w:pPr>
        <w:pStyle w:val="NoSpacing"/>
        <w:numPr>
          <w:ilvl w:val="1"/>
          <w:numId w:val="14"/>
        </w:numPr>
        <w:rPr>
          <w:rFonts w:ascii="Aptos" w:hAnsi="Aptos" w:cstheme="minorHAnsi"/>
          <w:b/>
          <w:bCs/>
          <w:sz w:val="24"/>
          <w:szCs w:val="24"/>
        </w:rPr>
      </w:pPr>
      <w:r w:rsidRPr="00A45197">
        <w:rPr>
          <w:rFonts w:ascii="Aptos" w:hAnsi="Aptos" w:cstheme="minorHAnsi"/>
          <w:b/>
          <w:bCs/>
          <w:sz w:val="24"/>
          <w:szCs w:val="24"/>
        </w:rPr>
        <w:t>Source or host</w:t>
      </w:r>
    </w:p>
    <w:p w14:paraId="12CFFE08" w14:textId="77777777" w:rsidR="00A45197" w:rsidRPr="00A45197" w:rsidRDefault="00A45197" w:rsidP="00A45197">
      <w:pPr>
        <w:pStyle w:val="NoSpacing"/>
        <w:numPr>
          <w:ilvl w:val="1"/>
          <w:numId w:val="14"/>
        </w:numPr>
        <w:rPr>
          <w:rFonts w:ascii="Aptos" w:hAnsi="Aptos" w:cstheme="minorHAnsi"/>
          <w:b/>
          <w:bCs/>
          <w:sz w:val="24"/>
          <w:szCs w:val="24"/>
        </w:rPr>
      </w:pPr>
      <w:r w:rsidRPr="00A45197">
        <w:rPr>
          <w:rFonts w:ascii="Aptos" w:hAnsi="Aptos" w:cstheme="minorHAnsi"/>
          <w:b/>
          <w:bCs/>
          <w:sz w:val="24"/>
          <w:szCs w:val="24"/>
        </w:rPr>
        <w:t>Whether it was declared, and if so, when</w:t>
      </w:r>
    </w:p>
    <w:p w14:paraId="505136B9" w14:textId="77777777" w:rsidR="00A45197" w:rsidRPr="00A45197" w:rsidRDefault="00A45197" w:rsidP="00A45197">
      <w:pPr>
        <w:pStyle w:val="NoSpacing"/>
        <w:numPr>
          <w:ilvl w:val="1"/>
          <w:numId w:val="14"/>
        </w:numPr>
        <w:rPr>
          <w:rFonts w:ascii="Aptos" w:hAnsi="Aptos" w:cstheme="minorHAnsi"/>
          <w:b/>
          <w:bCs/>
          <w:sz w:val="24"/>
          <w:szCs w:val="24"/>
        </w:rPr>
      </w:pPr>
      <w:r w:rsidRPr="00A45197">
        <w:rPr>
          <w:rFonts w:ascii="Aptos" w:hAnsi="Aptos" w:cstheme="minorHAnsi"/>
          <w:b/>
          <w:bCs/>
          <w:sz w:val="24"/>
          <w:szCs w:val="24"/>
        </w:rPr>
        <w:t>Any related documentation or internal correspondence</w:t>
      </w:r>
    </w:p>
    <w:p w14:paraId="56AD2B6D" w14:textId="77777777" w:rsidR="00A45197" w:rsidRPr="00A45197" w:rsidRDefault="00A45197" w:rsidP="00A45197">
      <w:pPr>
        <w:pStyle w:val="NoSpacing"/>
        <w:rPr>
          <w:rFonts w:ascii="Aptos" w:hAnsi="Aptos" w:cstheme="minorHAnsi"/>
          <w:b/>
          <w:bCs/>
          <w:sz w:val="24"/>
          <w:szCs w:val="24"/>
        </w:rPr>
      </w:pPr>
    </w:p>
    <w:p w14:paraId="4C67D4BB"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As mentioned above, all information regarding the Police and Crime Commissioner’s accepted and declined Gifts &amp; Hospitality can be found under the Gifts &amp; Hospitality heading at the above link to the OPCC website. </w:t>
      </w:r>
    </w:p>
    <w:p w14:paraId="4658E57F"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If you are seeking any related documentation or internal correspondence beyond the published register, please could you clarify or refine your request to help us identify the specific information you are interested in. </w:t>
      </w:r>
    </w:p>
    <w:p w14:paraId="5B6911A0" w14:textId="77777777" w:rsidR="00A45197" w:rsidRPr="00A45197" w:rsidRDefault="00A45197" w:rsidP="00A45197">
      <w:pPr>
        <w:pStyle w:val="NoSpacing"/>
        <w:rPr>
          <w:rFonts w:ascii="Aptos" w:hAnsi="Aptos" w:cstheme="minorHAnsi"/>
          <w:b/>
          <w:bCs/>
          <w:sz w:val="24"/>
          <w:szCs w:val="24"/>
        </w:rPr>
      </w:pPr>
    </w:p>
    <w:p w14:paraId="68D614D1" w14:textId="77777777" w:rsidR="00A45197" w:rsidRPr="00A45197" w:rsidRDefault="00A45197" w:rsidP="00A45197">
      <w:pPr>
        <w:pStyle w:val="NoSpacing"/>
        <w:rPr>
          <w:rFonts w:ascii="Aptos" w:hAnsi="Aptos" w:cstheme="minorHAnsi"/>
          <w:b/>
          <w:bCs/>
          <w:sz w:val="24"/>
          <w:szCs w:val="24"/>
        </w:rPr>
      </w:pPr>
      <w:r w:rsidRPr="00A45197">
        <w:rPr>
          <w:rFonts w:ascii="Aptos" w:hAnsi="Aptos" w:cstheme="minorHAnsi"/>
          <w:b/>
          <w:bCs/>
          <w:sz w:val="24"/>
          <w:szCs w:val="24"/>
        </w:rPr>
        <w:t>Hospitality System, Oversight, and Recording</w:t>
      </w:r>
    </w:p>
    <w:p w14:paraId="77E99321" w14:textId="77777777" w:rsidR="00A45197" w:rsidRPr="00A45197" w:rsidRDefault="00A45197" w:rsidP="00A45197">
      <w:pPr>
        <w:pStyle w:val="NoSpacing"/>
        <w:numPr>
          <w:ilvl w:val="0"/>
          <w:numId w:val="15"/>
        </w:numPr>
        <w:rPr>
          <w:rFonts w:ascii="Aptos" w:hAnsi="Aptos" w:cstheme="minorHAnsi"/>
          <w:b/>
          <w:bCs/>
          <w:sz w:val="24"/>
          <w:szCs w:val="24"/>
        </w:rPr>
      </w:pPr>
      <w:r w:rsidRPr="00A45197">
        <w:rPr>
          <w:rFonts w:ascii="Aptos" w:hAnsi="Aptos" w:cstheme="minorHAnsi"/>
          <w:b/>
          <w:bCs/>
          <w:sz w:val="24"/>
          <w:szCs w:val="24"/>
        </w:rPr>
        <w:t>Does the Office of the PCC operate any internal or electronic system for logging or approving hospitality, sponsorships, or third-party benefits offered to the PCC or staff?</w:t>
      </w:r>
    </w:p>
    <w:p w14:paraId="56BE46D5" w14:textId="77777777" w:rsidR="00A45197" w:rsidRPr="00A45197" w:rsidRDefault="00A45197" w:rsidP="00A45197">
      <w:pPr>
        <w:pStyle w:val="NoSpacing"/>
        <w:rPr>
          <w:rFonts w:ascii="Aptos" w:hAnsi="Aptos" w:cstheme="minorHAnsi"/>
          <w:b/>
          <w:bCs/>
          <w:sz w:val="24"/>
          <w:szCs w:val="24"/>
        </w:rPr>
      </w:pPr>
    </w:p>
    <w:p w14:paraId="5CB03E4E"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The Office of the Police and Crime Commissioner does not hold this information. </w:t>
      </w:r>
    </w:p>
    <w:p w14:paraId="705329DF" w14:textId="77777777" w:rsidR="00A45197" w:rsidRPr="00A45197" w:rsidRDefault="00A45197" w:rsidP="00A45197">
      <w:pPr>
        <w:pStyle w:val="NoSpacing"/>
        <w:rPr>
          <w:rFonts w:ascii="Aptos" w:hAnsi="Aptos" w:cstheme="minorHAnsi"/>
          <w:sz w:val="24"/>
          <w:szCs w:val="24"/>
        </w:rPr>
      </w:pPr>
    </w:p>
    <w:p w14:paraId="417A53A9" w14:textId="77777777" w:rsidR="00A45197" w:rsidRPr="00A45197" w:rsidRDefault="00A45197" w:rsidP="00A45197">
      <w:pPr>
        <w:pStyle w:val="NoSpacing"/>
        <w:numPr>
          <w:ilvl w:val="0"/>
          <w:numId w:val="15"/>
        </w:numPr>
        <w:rPr>
          <w:rFonts w:ascii="Aptos" w:hAnsi="Aptos" w:cstheme="minorHAnsi"/>
          <w:b/>
          <w:bCs/>
          <w:sz w:val="24"/>
          <w:szCs w:val="24"/>
        </w:rPr>
      </w:pPr>
      <w:r w:rsidRPr="00A45197">
        <w:rPr>
          <w:rFonts w:ascii="Aptos" w:hAnsi="Aptos" w:cstheme="minorHAnsi"/>
          <w:b/>
          <w:bCs/>
          <w:sz w:val="24"/>
          <w:szCs w:val="24"/>
        </w:rPr>
        <w:t>Who is responsible for oversight and compliance of this hospitality logging system?</w:t>
      </w:r>
    </w:p>
    <w:p w14:paraId="0CE859C8" w14:textId="77777777" w:rsidR="00A45197" w:rsidRPr="00A45197" w:rsidRDefault="00A45197" w:rsidP="00A45197">
      <w:pPr>
        <w:pStyle w:val="NoSpacing"/>
        <w:rPr>
          <w:rFonts w:ascii="Aptos" w:hAnsi="Aptos" w:cstheme="minorHAnsi"/>
          <w:b/>
          <w:bCs/>
          <w:sz w:val="24"/>
          <w:szCs w:val="24"/>
        </w:rPr>
      </w:pPr>
    </w:p>
    <w:p w14:paraId="48C909E6"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The Office of the Police and Crime Commissioner does not hold this information. </w:t>
      </w:r>
    </w:p>
    <w:p w14:paraId="638D97E4" w14:textId="77777777" w:rsidR="00A45197" w:rsidRPr="00A45197" w:rsidRDefault="00A45197" w:rsidP="00A45197">
      <w:pPr>
        <w:pStyle w:val="NoSpacing"/>
        <w:rPr>
          <w:rFonts w:ascii="Aptos" w:hAnsi="Aptos" w:cstheme="minorHAnsi"/>
          <w:sz w:val="24"/>
          <w:szCs w:val="24"/>
        </w:rPr>
      </w:pPr>
    </w:p>
    <w:p w14:paraId="4A08EFC7" w14:textId="77777777" w:rsidR="00A45197" w:rsidRPr="00A45197" w:rsidRDefault="00A45197" w:rsidP="00A45197">
      <w:pPr>
        <w:pStyle w:val="NoSpacing"/>
        <w:numPr>
          <w:ilvl w:val="0"/>
          <w:numId w:val="15"/>
        </w:numPr>
        <w:rPr>
          <w:rFonts w:ascii="Aptos" w:hAnsi="Aptos" w:cstheme="minorHAnsi"/>
          <w:b/>
          <w:bCs/>
          <w:sz w:val="24"/>
          <w:szCs w:val="24"/>
        </w:rPr>
      </w:pPr>
      <w:r w:rsidRPr="00A45197">
        <w:rPr>
          <w:rFonts w:ascii="Aptos" w:hAnsi="Aptos" w:cstheme="minorHAnsi"/>
          <w:b/>
          <w:bCs/>
          <w:sz w:val="24"/>
          <w:szCs w:val="24"/>
        </w:rPr>
        <w:t>Is this register or log reviewed by any independent body, committee, or ethics officer?</w:t>
      </w:r>
    </w:p>
    <w:p w14:paraId="53E378FD" w14:textId="77777777" w:rsidR="00A45197" w:rsidRPr="00A45197" w:rsidRDefault="00A45197" w:rsidP="00A45197">
      <w:pPr>
        <w:pStyle w:val="NoSpacing"/>
        <w:rPr>
          <w:rFonts w:ascii="Aptos" w:hAnsi="Aptos" w:cstheme="minorHAnsi"/>
          <w:b/>
          <w:bCs/>
          <w:sz w:val="24"/>
          <w:szCs w:val="24"/>
        </w:rPr>
      </w:pPr>
    </w:p>
    <w:p w14:paraId="58A557A0"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The Office of the Police and Crime Commissioner does not hold this information. </w:t>
      </w:r>
    </w:p>
    <w:p w14:paraId="5A1F8D89" w14:textId="77777777" w:rsidR="00A45197" w:rsidRPr="00A45197" w:rsidRDefault="00A45197" w:rsidP="00A45197">
      <w:pPr>
        <w:pStyle w:val="NoSpacing"/>
        <w:rPr>
          <w:rFonts w:ascii="Aptos" w:hAnsi="Aptos" w:cstheme="minorHAnsi"/>
          <w:sz w:val="24"/>
          <w:szCs w:val="24"/>
        </w:rPr>
      </w:pPr>
    </w:p>
    <w:p w14:paraId="078596A4" w14:textId="77777777" w:rsidR="00A45197" w:rsidRPr="00A45197" w:rsidRDefault="00A45197" w:rsidP="00A45197">
      <w:pPr>
        <w:pStyle w:val="NoSpacing"/>
        <w:numPr>
          <w:ilvl w:val="0"/>
          <w:numId w:val="15"/>
        </w:numPr>
        <w:rPr>
          <w:rFonts w:ascii="Aptos" w:hAnsi="Aptos" w:cstheme="minorHAnsi"/>
          <w:b/>
          <w:bCs/>
          <w:sz w:val="24"/>
          <w:szCs w:val="24"/>
        </w:rPr>
      </w:pPr>
      <w:r w:rsidRPr="00A45197">
        <w:rPr>
          <w:rFonts w:ascii="Aptos" w:hAnsi="Aptos" w:cstheme="minorHAnsi"/>
          <w:b/>
          <w:bCs/>
          <w:sz w:val="24"/>
          <w:szCs w:val="24"/>
        </w:rPr>
        <w:t>Has the PCC ever failed to declare a gift or hospitality benefit which was later logged or retrospectively disclosed? If so, please provide details.</w:t>
      </w:r>
    </w:p>
    <w:p w14:paraId="2AF0CB33" w14:textId="77777777" w:rsidR="00A45197" w:rsidRPr="00A45197" w:rsidRDefault="00A45197" w:rsidP="00A45197">
      <w:pPr>
        <w:pStyle w:val="NoSpacing"/>
        <w:rPr>
          <w:rFonts w:ascii="Aptos" w:hAnsi="Aptos" w:cstheme="minorHAnsi"/>
          <w:b/>
          <w:bCs/>
          <w:sz w:val="24"/>
          <w:szCs w:val="24"/>
        </w:rPr>
      </w:pPr>
    </w:p>
    <w:p w14:paraId="72B03126"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The Office of the Police and Crime Commissioner does not hold this information.</w:t>
      </w:r>
    </w:p>
    <w:p w14:paraId="6C5A85E6" w14:textId="77777777" w:rsidR="00A45197" w:rsidRPr="00A45197" w:rsidRDefault="00A45197" w:rsidP="00A45197">
      <w:pPr>
        <w:pStyle w:val="NoSpacing"/>
        <w:numPr>
          <w:ilvl w:val="0"/>
          <w:numId w:val="15"/>
        </w:numPr>
        <w:rPr>
          <w:rFonts w:ascii="Aptos" w:hAnsi="Aptos" w:cstheme="minorHAnsi"/>
          <w:b/>
          <w:bCs/>
          <w:sz w:val="24"/>
          <w:szCs w:val="24"/>
        </w:rPr>
      </w:pPr>
      <w:r w:rsidRPr="00A45197">
        <w:rPr>
          <w:rFonts w:ascii="Aptos" w:hAnsi="Aptos" w:cstheme="minorHAnsi"/>
          <w:b/>
          <w:bCs/>
          <w:sz w:val="24"/>
          <w:szCs w:val="24"/>
        </w:rPr>
        <w:t>Are declarations cross-referenced with diary entries, emails, or meeting attendance for verification?</w:t>
      </w:r>
    </w:p>
    <w:p w14:paraId="67CFB593" w14:textId="77777777" w:rsidR="00A45197" w:rsidRPr="00A45197" w:rsidRDefault="00A45197" w:rsidP="00A45197">
      <w:pPr>
        <w:pStyle w:val="NoSpacing"/>
        <w:rPr>
          <w:rFonts w:ascii="Aptos" w:hAnsi="Aptos" w:cstheme="minorHAnsi"/>
          <w:b/>
          <w:bCs/>
          <w:sz w:val="24"/>
          <w:szCs w:val="24"/>
        </w:rPr>
      </w:pPr>
    </w:p>
    <w:p w14:paraId="2675AD55"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I can confirm that declarations are cross-referenced with diary entries, emails and meeting attendance for verification. </w:t>
      </w:r>
    </w:p>
    <w:p w14:paraId="0B87630F" w14:textId="77777777" w:rsidR="00A45197" w:rsidRPr="00A45197" w:rsidRDefault="00A45197" w:rsidP="00A45197">
      <w:pPr>
        <w:pStyle w:val="NoSpacing"/>
        <w:rPr>
          <w:rFonts w:ascii="Aptos" w:hAnsi="Aptos" w:cstheme="minorHAnsi"/>
          <w:sz w:val="24"/>
          <w:szCs w:val="24"/>
        </w:rPr>
      </w:pPr>
    </w:p>
    <w:p w14:paraId="63EFED5F" w14:textId="77777777" w:rsidR="00A45197" w:rsidRPr="00A45197" w:rsidRDefault="00A45197" w:rsidP="00A45197">
      <w:pPr>
        <w:pStyle w:val="NoSpacing"/>
        <w:rPr>
          <w:rFonts w:ascii="Aptos" w:hAnsi="Aptos" w:cstheme="minorHAnsi"/>
          <w:b/>
          <w:bCs/>
          <w:sz w:val="24"/>
          <w:szCs w:val="24"/>
        </w:rPr>
      </w:pPr>
      <w:r w:rsidRPr="00A45197">
        <w:rPr>
          <w:rFonts w:ascii="Aptos" w:hAnsi="Aptos" w:cstheme="minorHAnsi"/>
          <w:b/>
          <w:bCs/>
          <w:sz w:val="24"/>
          <w:szCs w:val="24"/>
        </w:rPr>
        <w:t>Engagement with “Nectar” or Associated Entities</w:t>
      </w:r>
    </w:p>
    <w:p w14:paraId="067234D3" w14:textId="77777777" w:rsidR="00A45197" w:rsidRPr="00A45197" w:rsidRDefault="00A45197" w:rsidP="00A45197">
      <w:pPr>
        <w:pStyle w:val="NoSpacing"/>
        <w:numPr>
          <w:ilvl w:val="0"/>
          <w:numId w:val="16"/>
        </w:numPr>
        <w:rPr>
          <w:rFonts w:ascii="Aptos" w:hAnsi="Aptos" w:cstheme="minorHAnsi"/>
          <w:b/>
          <w:bCs/>
          <w:sz w:val="24"/>
          <w:szCs w:val="24"/>
        </w:rPr>
      </w:pPr>
      <w:r w:rsidRPr="00A45197">
        <w:rPr>
          <w:rFonts w:ascii="Aptos" w:hAnsi="Aptos" w:cstheme="minorHAnsi"/>
          <w:b/>
          <w:bCs/>
          <w:sz w:val="24"/>
          <w:szCs w:val="24"/>
        </w:rPr>
        <w:t>Has the Police and Crime Commissioner attended any product launches, demonstrations, or promotional events relating to a product, platform, or service known as “Nectar”?</w:t>
      </w:r>
    </w:p>
    <w:p w14:paraId="666137ED" w14:textId="77777777" w:rsidR="00A45197" w:rsidRPr="00A45197" w:rsidRDefault="00A45197" w:rsidP="00A45197">
      <w:pPr>
        <w:pStyle w:val="NoSpacing"/>
        <w:numPr>
          <w:ilvl w:val="0"/>
          <w:numId w:val="16"/>
        </w:numPr>
        <w:rPr>
          <w:rFonts w:ascii="Aptos" w:hAnsi="Aptos" w:cstheme="minorHAnsi"/>
          <w:b/>
          <w:bCs/>
          <w:sz w:val="24"/>
          <w:szCs w:val="24"/>
        </w:rPr>
      </w:pPr>
      <w:r w:rsidRPr="00A45197">
        <w:rPr>
          <w:rFonts w:ascii="Aptos" w:hAnsi="Aptos" w:cstheme="minorHAnsi"/>
          <w:b/>
          <w:bCs/>
          <w:sz w:val="24"/>
          <w:szCs w:val="24"/>
        </w:rPr>
        <w:t>If so, please provide:</w:t>
      </w:r>
    </w:p>
    <w:p w14:paraId="3AAB5E8F" w14:textId="77777777" w:rsidR="00A45197" w:rsidRPr="00A45197" w:rsidRDefault="00A45197" w:rsidP="00A45197">
      <w:pPr>
        <w:pStyle w:val="NoSpacing"/>
        <w:numPr>
          <w:ilvl w:val="0"/>
          <w:numId w:val="17"/>
        </w:numPr>
        <w:rPr>
          <w:rFonts w:ascii="Aptos" w:hAnsi="Aptos" w:cstheme="minorHAnsi"/>
          <w:b/>
          <w:bCs/>
          <w:sz w:val="24"/>
          <w:szCs w:val="24"/>
        </w:rPr>
      </w:pPr>
      <w:r w:rsidRPr="00A45197">
        <w:rPr>
          <w:rFonts w:ascii="Aptos" w:hAnsi="Aptos" w:cstheme="minorHAnsi"/>
          <w:b/>
          <w:bCs/>
          <w:sz w:val="24"/>
          <w:szCs w:val="24"/>
        </w:rPr>
        <w:t>Date(s) of attendance</w:t>
      </w:r>
    </w:p>
    <w:p w14:paraId="5B575729" w14:textId="77777777" w:rsidR="00A45197" w:rsidRPr="00A45197" w:rsidRDefault="00A45197" w:rsidP="00A45197">
      <w:pPr>
        <w:pStyle w:val="NoSpacing"/>
        <w:numPr>
          <w:ilvl w:val="0"/>
          <w:numId w:val="17"/>
        </w:numPr>
        <w:rPr>
          <w:rFonts w:ascii="Aptos" w:hAnsi="Aptos" w:cstheme="minorHAnsi"/>
          <w:b/>
          <w:bCs/>
          <w:sz w:val="24"/>
          <w:szCs w:val="24"/>
        </w:rPr>
      </w:pPr>
      <w:r w:rsidRPr="00A45197">
        <w:rPr>
          <w:rFonts w:ascii="Aptos" w:hAnsi="Aptos" w:cstheme="minorHAnsi"/>
          <w:b/>
          <w:bCs/>
          <w:sz w:val="24"/>
          <w:szCs w:val="24"/>
        </w:rPr>
        <w:lastRenderedPageBreak/>
        <w:t>Location or format of the event (e.g., in person, virtual, hybrid)</w:t>
      </w:r>
    </w:p>
    <w:p w14:paraId="40B7971D" w14:textId="77777777" w:rsidR="00A45197" w:rsidRPr="00A45197" w:rsidRDefault="00A45197" w:rsidP="00A45197">
      <w:pPr>
        <w:pStyle w:val="NoSpacing"/>
        <w:numPr>
          <w:ilvl w:val="0"/>
          <w:numId w:val="17"/>
        </w:numPr>
        <w:rPr>
          <w:rFonts w:ascii="Aptos" w:hAnsi="Aptos" w:cstheme="minorHAnsi"/>
          <w:b/>
          <w:bCs/>
          <w:sz w:val="24"/>
          <w:szCs w:val="24"/>
        </w:rPr>
      </w:pPr>
      <w:r w:rsidRPr="00A45197">
        <w:rPr>
          <w:rFonts w:ascii="Aptos" w:hAnsi="Aptos" w:cstheme="minorHAnsi"/>
          <w:b/>
          <w:bCs/>
          <w:sz w:val="24"/>
          <w:szCs w:val="24"/>
        </w:rPr>
        <w:t>Name of host organisation or vendor</w:t>
      </w:r>
    </w:p>
    <w:p w14:paraId="5E2CF77E" w14:textId="77777777" w:rsidR="00A45197" w:rsidRPr="00A45197" w:rsidRDefault="00A45197" w:rsidP="00A45197">
      <w:pPr>
        <w:pStyle w:val="NoSpacing"/>
        <w:numPr>
          <w:ilvl w:val="0"/>
          <w:numId w:val="17"/>
        </w:numPr>
        <w:rPr>
          <w:rFonts w:ascii="Aptos" w:hAnsi="Aptos" w:cstheme="minorHAnsi"/>
          <w:b/>
          <w:bCs/>
          <w:sz w:val="24"/>
          <w:szCs w:val="24"/>
        </w:rPr>
      </w:pPr>
      <w:r w:rsidRPr="00A45197">
        <w:rPr>
          <w:rFonts w:ascii="Aptos" w:hAnsi="Aptos" w:cstheme="minorHAnsi"/>
          <w:b/>
          <w:bCs/>
          <w:sz w:val="24"/>
          <w:szCs w:val="24"/>
        </w:rPr>
        <w:t>Subject matter or scope of the product</w:t>
      </w:r>
    </w:p>
    <w:p w14:paraId="7E1F934E" w14:textId="77777777" w:rsidR="00A45197" w:rsidRPr="00A45197" w:rsidRDefault="00A45197" w:rsidP="00A45197">
      <w:pPr>
        <w:pStyle w:val="NoSpacing"/>
        <w:numPr>
          <w:ilvl w:val="0"/>
          <w:numId w:val="17"/>
        </w:numPr>
        <w:rPr>
          <w:rFonts w:ascii="Aptos" w:hAnsi="Aptos" w:cstheme="minorHAnsi"/>
          <w:b/>
          <w:bCs/>
          <w:sz w:val="24"/>
          <w:szCs w:val="24"/>
        </w:rPr>
      </w:pPr>
      <w:r w:rsidRPr="00A45197">
        <w:rPr>
          <w:rFonts w:ascii="Aptos" w:hAnsi="Aptos" w:cstheme="minorHAnsi"/>
          <w:b/>
          <w:bCs/>
          <w:sz w:val="24"/>
          <w:szCs w:val="24"/>
        </w:rPr>
        <w:t>Whether any gifts, hospitality, or promotional items were received</w:t>
      </w:r>
    </w:p>
    <w:p w14:paraId="1C63252D" w14:textId="77777777" w:rsidR="00A45197" w:rsidRPr="00A45197" w:rsidRDefault="00A45197" w:rsidP="00A45197">
      <w:pPr>
        <w:pStyle w:val="NoSpacing"/>
        <w:numPr>
          <w:ilvl w:val="0"/>
          <w:numId w:val="18"/>
        </w:numPr>
        <w:rPr>
          <w:rFonts w:ascii="Aptos" w:hAnsi="Aptos" w:cstheme="minorHAnsi"/>
          <w:b/>
          <w:bCs/>
          <w:sz w:val="24"/>
          <w:szCs w:val="24"/>
        </w:rPr>
      </w:pPr>
      <w:r w:rsidRPr="00A45197">
        <w:rPr>
          <w:rFonts w:ascii="Aptos" w:hAnsi="Aptos" w:cstheme="minorHAnsi"/>
          <w:b/>
          <w:bCs/>
          <w:sz w:val="24"/>
          <w:szCs w:val="24"/>
        </w:rPr>
        <w:t>Has the PCC or OPCC entered into any correspondence, briefing, meeting, or informal discussion with a representative of Nectar or its affiliated partners since January 2021?</w:t>
      </w:r>
    </w:p>
    <w:p w14:paraId="22960358" w14:textId="77777777" w:rsidR="00A45197" w:rsidRPr="00A45197" w:rsidRDefault="00A45197" w:rsidP="00A45197">
      <w:pPr>
        <w:pStyle w:val="NoSpacing"/>
        <w:rPr>
          <w:rFonts w:ascii="Aptos" w:hAnsi="Aptos" w:cstheme="minorHAnsi"/>
          <w:b/>
          <w:bCs/>
          <w:sz w:val="24"/>
          <w:szCs w:val="24"/>
        </w:rPr>
      </w:pPr>
    </w:p>
    <w:p w14:paraId="700B1232"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Please note that this is a repeat of a previous Freedom of Information request which has already been responded to. Under Section 14(2) of the Act, a public authority is not obliged to comply with a request that is identical or substantially similar to one previously received. However, I will confirm once again, that the Office of the Police and Crime Commissioner does not hold this information. </w:t>
      </w:r>
    </w:p>
    <w:p w14:paraId="73C5F016" w14:textId="77777777" w:rsidR="00A45197" w:rsidRPr="00A45197" w:rsidRDefault="00A45197" w:rsidP="00A45197">
      <w:pPr>
        <w:pStyle w:val="NoSpacing"/>
        <w:rPr>
          <w:rFonts w:ascii="Aptos" w:hAnsi="Aptos" w:cstheme="minorHAnsi"/>
          <w:sz w:val="24"/>
          <w:szCs w:val="24"/>
        </w:rPr>
      </w:pPr>
    </w:p>
    <w:p w14:paraId="0B9879CD" w14:textId="77777777" w:rsidR="00A45197" w:rsidRPr="00A45197" w:rsidRDefault="00A45197" w:rsidP="00A45197">
      <w:pPr>
        <w:pStyle w:val="NoSpacing"/>
        <w:rPr>
          <w:rFonts w:ascii="Aptos" w:hAnsi="Aptos" w:cstheme="minorHAnsi"/>
          <w:b/>
          <w:bCs/>
          <w:sz w:val="24"/>
          <w:szCs w:val="24"/>
        </w:rPr>
      </w:pPr>
      <w:r w:rsidRPr="00A45197">
        <w:rPr>
          <w:rFonts w:ascii="Aptos" w:hAnsi="Aptos" w:cstheme="minorHAnsi"/>
          <w:b/>
          <w:bCs/>
          <w:sz w:val="24"/>
          <w:szCs w:val="24"/>
        </w:rPr>
        <w:t>Governance, Transparency, and Related Interests</w:t>
      </w:r>
    </w:p>
    <w:p w14:paraId="7385600C" w14:textId="77777777" w:rsidR="00A45197" w:rsidRPr="00A45197" w:rsidRDefault="00A45197" w:rsidP="00A45197">
      <w:pPr>
        <w:pStyle w:val="NoSpacing"/>
        <w:numPr>
          <w:ilvl w:val="0"/>
          <w:numId w:val="19"/>
        </w:numPr>
        <w:rPr>
          <w:rFonts w:ascii="Aptos" w:hAnsi="Aptos" w:cstheme="minorHAnsi"/>
          <w:b/>
          <w:bCs/>
          <w:sz w:val="24"/>
          <w:szCs w:val="24"/>
        </w:rPr>
      </w:pPr>
      <w:r w:rsidRPr="00A45197">
        <w:rPr>
          <w:rFonts w:ascii="Aptos" w:hAnsi="Aptos" w:cstheme="minorHAnsi"/>
          <w:b/>
          <w:bCs/>
          <w:sz w:val="24"/>
          <w:szCs w:val="24"/>
        </w:rPr>
        <w:t>Has the PCC declared any interests or prior associations with companies, consultancies, or individuals involved in the provision of crime-prevention or data analytics tools (including Nectar)?</w:t>
      </w:r>
    </w:p>
    <w:p w14:paraId="5EC29D80" w14:textId="77777777" w:rsidR="00A45197" w:rsidRPr="00A45197" w:rsidRDefault="00A45197" w:rsidP="00A45197">
      <w:pPr>
        <w:pStyle w:val="NoSpacing"/>
        <w:numPr>
          <w:ilvl w:val="0"/>
          <w:numId w:val="19"/>
        </w:numPr>
        <w:rPr>
          <w:rFonts w:ascii="Aptos" w:hAnsi="Aptos" w:cstheme="minorHAnsi"/>
          <w:b/>
          <w:bCs/>
          <w:sz w:val="24"/>
          <w:szCs w:val="24"/>
        </w:rPr>
      </w:pPr>
      <w:r w:rsidRPr="00A45197">
        <w:rPr>
          <w:rFonts w:ascii="Aptos" w:hAnsi="Aptos" w:cstheme="minorHAnsi"/>
          <w:b/>
          <w:bCs/>
          <w:sz w:val="24"/>
          <w:szCs w:val="24"/>
        </w:rPr>
        <w:t>Are declarations of interests reviewed and updated on a scheduled basis? If so, what is the frequency and oversight mechanism?</w:t>
      </w:r>
    </w:p>
    <w:p w14:paraId="6B211C20" w14:textId="77777777" w:rsidR="00A45197" w:rsidRPr="00A45197" w:rsidRDefault="00A45197" w:rsidP="00A45197">
      <w:pPr>
        <w:pStyle w:val="NoSpacing"/>
        <w:rPr>
          <w:rFonts w:ascii="Aptos" w:hAnsi="Aptos" w:cstheme="minorHAnsi"/>
          <w:b/>
          <w:bCs/>
          <w:sz w:val="24"/>
          <w:szCs w:val="24"/>
        </w:rPr>
      </w:pPr>
    </w:p>
    <w:p w14:paraId="7040F5A7"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I can confirm that the OPCC publish the Police and Crime Commissioner’s disclosable interests on the OPCC website at the following link: </w:t>
      </w:r>
      <w:hyperlink r:id="rId8" w:history="1">
        <w:r w:rsidRPr="00A45197">
          <w:rPr>
            <w:rStyle w:val="Hyperlink"/>
            <w:rFonts w:ascii="Aptos" w:hAnsi="Aptos" w:cstheme="minorHAnsi"/>
            <w:sz w:val="24"/>
            <w:szCs w:val="24"/>
          </w:rPr>
          <w:t>Disclosable Interests</w:t>
        </w:r>
      </w:hyperlink>
      <w:r w:rsidRPr="00A45197">
        <w:rPr>
          <w:rFonts w:ascii="Aptos" w:hAnsi="Aptos" w:cstheme="minorHAnsi"/>
          <w:sz w:val="24"/>
          <w:szCs w:val="24"/>
        </w:rPr>
        <w:t xml:space="preserve">. This is reviewed and updated every year. Therefore, as this information is reasonably accessible by other means, under Section 21 of the Freedom of Information Act 2000, we are not required to provide it in response to and FOI request. </w:t>
      </w:r>
    </w:p>
    <w:p w14:paraId="071CF597" w14:textId="77777777" w:rsidR="00A45197" w:rsidRPr="00A45197" w:rsidRDefault="00A45197" w:rsidP="00A45197">
      <w:pPr>
        <w:pStyle w:val="NoSpacing"/>
        <w:rPr>
          <w:rFonts w:ascii="Aptos" w:hAnsi="Aptos" w:cstheme="minorHAnsi"/>
          <w:sz w:val="24"/>
          <w:szCs w:val="24"/>
        </w:rPr>
      </w:pPr>
    </w:p>
    <w:p w14:paraId="7D066750" w14:textId="77777777" w:rsidR="00A45197" w:rsidRPr="00A45197" w:rsidRDefault="00A45197" w:rsidP="00A45197">
      <w:pPr>
        <w:pStyle w:val="NoSpacing"/>
        <w:numPr>
          <w:ilvl w:val="0"/>
          <w:numId w:val="19"/>
        </w:numPr>
        <w:rPr>
          <w:rFonts w:ascii="Aptos" w:hAnsi="Aptos" w:cstheme="minorHAnsi"/>
          <w:b/>
          <w:bCs/>
          <w:sz w:val="24"/>
          <w:szCs w:val="24"/>
        </w:rPr>
      </w:pPr>
      <w:r w:rsidRPr="00A45197">
        <w:rPr>
          <w:rFonts w:ascii="Aptos" w:hAnsi="Aptos" w:cstheme="minorHAnsi"/>
          <w:b/>
          <w:bCs/>
          <w:sz w:val="24"/>
          <w:szCs w:val="24"/>
        </w:rPr>
        <w:t>Has the PCC, Deputy PCC, or any senior OPCC staff received training, marketing materials, trial access, or prototype demonstrations relating to Nectar or a similar data platform?</w:t>
      </w:r>
    </w:p>
    <w:p w14:paraId="79B65082" w14:textId="77777777" w:rsidR="00A45197" w:rsidRPr="00A45197" w:rsidRDefault="00A45197" w:rsidP="00A45197">
      <w:pPr>
        <w:pStyle w:val="NoSpacing"/>
        <w:numPr>
          <w:ilvl w:val="0"/>
          <w:numId w:val="19"/>
        </w:numPr>
        <w:rPr>
          <w:rFonts w:ascii="Aptos" w:hAnsi="Aptos" w:cstheme="minorHAnsi"/>
          <w:b/>
          <w:bCs/>
          <w:sz w:val="24"/>
          <w:szCs w:val="24"/>
        </w:rPr>
      </w:pPr>
      <w:r w:rsidRPr="00A45197">
        <w:rPr>
          <w:rFonts w:ascii="Aptos" w:hAnsi="Aptos" w:cstheme="minorHAnsi"/>
          <w:b/>
          <w:bCs/>
          <w:sz w:val="24"/>
          <w:szCs w:val="24"/>
        </w:rPr>
        <w:t>Please provide any briefing notes, attendance records, or email invitations related to Nectar demos, pilots, or events.</w:t>
      </w:r>
    </w:p>
    <w:p w14:paraId="623B9385" w14:textId="77777777" w:rsidR="00A45197" w:rsidRPr="00A45197" w:rsidRDefault="00A45197" w:rsidP="00A45197">
      <w:pPr>
        <w:pStyle w:val="NoSpacing"/>
        <w:rPr>
          <w:rFonts w:ascii="Aptos" w:hAnsi="Aptos" w:cstheme="minorHAnsi"/>
          <w:b/>
          <w:bCs/>
          <w:sz w:val="24"/>
          <w:szCs w:val="24"/>
        </w:rPr>
      </w:pPr>
    </w:p>
    <w:p w14:paraId="22973EBE"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The Office of the Police and Crime Commissioner does not hold this information. </w:t>
      </w:r>
    </w:p>
    <w:p w14:paraId="1F4EC84E" w14:textId="77777777" w:rsidR="00A45197" w:rsidRPr="00A45197" w:rsidRDefault="00A45197" w:rsidP="00A45197">
      <w:pPr>
        <w:pStyle w:val="NoSpacing"/>
        <w:rPr>
          <w:rFonts w:ascii="Aptos" w:hAnsi="Aptos" w:cstheme="minorHAnsi"/>
          <w:b/>
          <w:bCs/>
          <w:sz w:val="24"/>
          <w:szCs w:val="24"/>
        </w:rPr>
      </w:pPr>
    </w:p>
    <w:p w14:paraId="2C67248A" w14:textId="77777777" w:rsidR="00A45197" w:rsidRPr="00A45197" w:rsidRDefault="00A45197" w:rsidP="00A45197">
      <w:pPr>
        <w:pStyle w:val="NoSpacing"/>
        <w:rPr>
          <w:rFonts w:ascii="Aptos" w:hAnsi="Aptos" w:cstheme="minorHAnsi"/>
          <w:b/>
          <w:bCs/>
          <w:sz w:val="24"/>
          <w:szCs w:val="24"/>
        </w:rPr>
      </w:pPr>
      <w:r w:rsidRPr="00A45197">
        <w:rPr>
          <w:rFonts w:ascii="Aptos" w:hAnsi="Aptos" w:cstheme="minorHAnsi"/>
          <w:b/>
          <w:bCs/>
          <w:sz w:val="24"/>
          <w:szCs w:val="24"/>
        </w:rPr>
        <w:t>External Funding and Influence</w:t>
      </w:r>
    </w:p>
    <w:p w14:paraId="0BF1918F" w14:textId="77777777" w:rsidR="00A45197" w:rsidRPr="00A45197" w:rsidRDefault="00A45197" w:rsidP="00A45197">
      <w:pPr>
        <w:pStyle w:val="NoSpacing"/>
        <w:numPr>
          <w:ilvl w:val="0"/>
          <w:numId w:val="20"/>
        </w:numPr>
        <w:rPr>
          <w:rFonts w:ascii="Aptos" w:hAnsi="Aptos" w:cstheme="minorHAnsi"/>
          <w:b/>
          <w:bCs/>
          <w:sz w:val="24"/>
          <w:szCs w:val="24"/>
        </w:rPr>
      </w:pPr>
      <w:r w:rsidRPr="00A45197">
        <w:rPr>
          <w:rFonts w:ascii="Aptos" w:hAnsi="Aptos" w:cstheme="minorHAnsi"/>
          <w:b/>
          <w:bCs/>
          <w:sz w:val="24"/>
          <w:szCs w:val="24"/>
        </w:rPr>
        <w:t>Has any Nectar-related project or promotional engagement been funded or co-hosted by an external supplier, corporate sponsor, or government innovation fund?</w:t>
      </w:r>
    </w:p>
    <w:p w14:paraId="4D69E31B" w14:textId="77777777" w:rsidR="00A45197" w:rsidRPr="00A45197" w:rsidRDefault="00A45197" w:rsidP="00A45197">
      <w:pPr>
        <w:pStyle w:val="NoSpacing"/>
        <w:numPr>
          <w:ilvl w:val="0"/>
          <w:numId w:val="20"/>
        </w:numPr>
        <w:rPr>
          <w:rFonts w:ascii="Aptos" w:hAnsi="Aptos" w:cstheme="minorHAnsi"/>
          <w:b/>
          <w:bCs/>
          <w:sz w:val="24"/>
          <w:szCs w:val="24"/>
        </w:rPr>
      </w:pPr>
      <w:r w:rsidRPr="00A45197">
        <w:rPr>
          <w:rFonts w:ascii="Aptos" w:hAnsi="Aptos" w:cstheme="minorHAnsi"/>
          <w:b/>
          <w:bCs/>
          <w:sz w:val="24"/>
          <w:szCs w:val="24"/>
        </w:rPr>
        <w:t>Are there any Memoranda of Understanding (MOUs), Non-Disclosure Agreements (NDAs), or partnership agreements between the OPCC and any company or entity associated with Nectar?</w:t>
      </w:r>
    </w:p>
    <w:p w14:paraId="723A5993" w14:textId="77777777" w:rsidR="00A45197" w:rsidRPr="00A45197" w:rsidRDefault="00A45197" w:rsidP="00A45197">
      <w:pPr>
        <w:pStyle w:val="NoSpacing"/>
        <w:numPr>
          <w:ilvl w:val="0"/>
          <w:numId w:val="20"/>
        </w:numPr>
        <w:rPr>
          <w:rFonts w:ascii="Aptos" w:hAnsi="Aptos" w:cstheme="minorHAnsi"/>
          <w:b/>
          <w:bCs/>
          <w:sz w:val="24"/>
          <w:szCs w:val="24"/>
        </w:rPr>
      </w:pPr>
      <w:r w:rsidRPr="00A45197">
        <w:rPr>
          <w:rFonts w:ascii="Aptos" w:hAnsi="Aptos" w:cstheme="minorHAnsi"/>
          <w:b/>
          <w:bCs/>
          <w:sz w:val="24"/>
          <w:szCs w:val="24"/>
        </w:rPr>
        <w:t>Has the PCC made any public statement, interview, media comment, or published opinion regarding the use, testing, endorsement, or strategic value of the Nectar platform? If so, please provide a transcript or recording.</w:t>
      </w:r>
    </w:p>
    <w:p w14:paraId="438B4347" w14:textId="77777777" w:rsidR="00A45197" w:rsidRPr="00A45197" w:rsidRDefault="00A45197" w:rsidP="00A45197">
      <w:pPr>
        <w:pStyle w:val="NoSpacing"/>
        <w:rPr>
          <w:rFonts w:ascii="Aptos" w:hAnsi="Aptos" w:cstheme="minorHAnsi"/>
          <w:b/>
          <w:bCs/>
          <w:sz w:val="24"/>
          <w:szCs w:val="24"/>
        </w:rPr>
      </w:pPr>
    </w:p>
    <w:p w14:paraId="50A0E3C4" w14:textId="77777777" w:rsidR="00A45197" w:rsidRPr="00A45197" w:rsidRDefault="00A45197" w:rsidP="00A45197">
      <w:pPr>
        <w:pStyle w:val="NoSpacing"/>
        <w:rPr>
          <w:rFonts w:ascii="Aptos" w:hAnsi="Aptos" w:cstheme="minorHAnsi"/>
          <w:sz w:val="24"/>
          <w:szCs w:val="24"/>
        </w:rPr>
      </w:pPr>
      <w:r w:rsidRPr="00A45197">
        <w:rPr>
          <w:rFonts w:ascii="Aptos" w:hAnsi="Aptos" w:cstheme="minorHAnsi"/>
          <w:sz w:val="24"/>
          <w:szCs w:val="24"/>
        </w:rPr>
        <w:t xml:space="preserve">The Office of the Police and Crime Commissioner does not hold this information. </w:t>
      </w:r>
    </w:p>
    <w:p w14:paraId="5FE1CE11" w14:textId="77777777" w:rsidR="002772C2" w:rsidRPr="00A416E1" w:rsidRDefault="002772C2" w:rsidP="00C557BC">
      <w:pPr>
        <w:pStyle w:val="NoSpacing"/>
        <w:spacing w:line="360" w:lineRule="auto"/>
        <w:rPr>
          <w:rFonts w:ascii="Aptos" w:eastAsiaTheme="minorHAnsi" w:hAnsi="Aptos" w:cstheme="minorHAnsi"/>
          <w:sz w:val="24"/>
          <w:szCs w:val="24"/>
          <w:lang w:val="en-GB"/>
        </w:rPr>
      </w:pPr>
    </w:p>
    <w:sectPr w:rsidR="002772C2" w:rsidRPr="00A416E1"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E37"/>
    <w:multiLevelType w:val="multilevel"/>
    <w:tmpl w:val="CCCC2AA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810EDA"/>
    <w:multiLevelType w:val="multilevel"/>
    <w:tmpl w:val="F28229AA"/>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772CE6"/>
    <w:multiLevelType w:val="multilevel"/>
    <w:tmpl w:val="654201C4"/>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94088"/>
    <w:multiLevelType w:val="multilevel"/>
    <w:tmpl w:val="A7782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73A04"/>
    <w:multiLevelType w:val="multilevel"/>
    <w:tmpl w:val="E0CC7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EC4968"/>
    <w:multiLevelType w:val="multilevel"/>
    <w:tmpl w:val="9D728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D7EA3"/>
    <w:multiLevelType w:val="multilevel"/>
    <w:tmpl w:val="120CAB5C"/>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EC6894"/>
    <w:multiLevelType w:val="multilevel"/>
    <w:tmpl w:val="779E568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E46475B"/>
    <w:multiLevelType w:val="multilevel"/>
    <w:tmpl w:val="50A2D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625CCE"/>
    <w:multiLevelType w:val="multilevel"/>
    <w:tmpl w:val="3E98C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B570675"/>
    <w:multiLevelType w:val="multilevel"/>
    <w:tmpl w:val="E7FA0E8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B64121"/>
    <w:multiLevelType w:val="multilevel"/>
    <w:tmpl w:val="BB648F2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1B51FFA"/>
    <w:multiLevelType w:val="multilevel"/>
    <w:tmpl w:val="4E22FA86"/>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3A049C4"/>
    <w:multiLevelType w:val="multilevel"/>
    <w:tmpl w:val="52F0496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CF1A62"/>
    <w:multiLevelType w:val="multilevel"/>
    <w:tmpl w:val="9E7A5F6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3D3247"/>
    <w:multiLevelType w:val="multilevel"/>
    <w:tmpl w:val="F02200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060747C"/>
    <w:multiLevelType w:val="multilevel"/>
    <w:tmpl w:val="17743CA6"/>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AE57F5F"/>
    <w:multiLevelType w:val="multilevel"/>
    <w:tmpl w:val="8BE6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11771F"/>
    <w:multiLevelType w:val="multilevel"/>
    <w:tmpl w:val="80527244"/>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2E4AD0"/>
    <w:multiLevelType w:val="multilevel"/>
    <w:tmpl w:val="9C02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242414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105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63589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897145">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663216">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19130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5700590">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478547">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750692">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9424019">
    <w:abstractNumId w:val="19"/>
  </w:num>
  <w:num w:numId="11" w16cid:durableId="309751326">
    <w:abstractNumId w:val="3"/>
  </w:num>
  <w:num w:numId="12" w16cid:durableId="868568229">
    <w:abstractNumId w:val="17"/>
  </w:num>
  <w:num w:numId="13" w16cid:durableId="41831730">
    <w:abstractNumId w:val="5"/>
  </w:num>
  <w:num w:numId="14" w16cid:durableId="701907755">
    <w:abstractNumId w:val="12"/>
  </w:num>
  <w:num w:numId="15" w16cid:durableId="88756751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685802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8653059">
    <w:abstractNumId w:val="8"/>
  </w:num>
  <w:num w:numId="18" w16cid:durableId="442917880">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5323778">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3941808">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1159D"/>
    <w:rsid w:val="00017C9F"/>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B73A4"/>
    <w:rsid w:val="001D000E"/>
    <w:rsid w:val="001D715C"/>
    <w:rsid w:val="001F3868"/>
    <w:rsid w:val="00252521"/>
    <w:rsid w:val="00252919"/>
    <w:rsid w:val="00273F32"/>
    <w:rsid w:val="0027619F"/>
    <w:rsid w:val="002772C2"/>
    <w:rsid w:val="00286F89"/>
    <w:rsid w:val="002C3487"/>
    <w:rsid w:val="00356E66"/>
    <w:rsid w:val="00357B6F"/>
    <w:rsid w:val="003637CD"/>
    <w:rsid w:val="003820DC"/>
    <w:rsid w:val="003B34CF"/>
    <w:rsid w:val="003C33F5"/>
    <w:rsid w:val="003D5327"/>
    <w:rsid w:val="003F156B"/>
    <w:rsid w:val="00422EF8"/>
    <w:rsid w:val="00434350"/>
    <w:rsid w:val="0044325C"/>
    <w:rsid w:val="00486125"/>
    <w:rsid w:val="004A25B6"/>
    <w:rsid w:val="004A4B64"/>
    <w:rsid w:val="004D307F"/>
    <w:rsid w:val="004E2EC4"/>
    <w:rsid w:val="005242E0"/>
    <w:rsid w:val="0052532E"/>
    <w:rsid w:val="00560D0D"/>
    <w:rsid w:val="0057471A"/>
    <w:rsid w:val="00576D8A"/>
    <w:rsid w:val="005A702A"/>
    <w:rsid w:val="005C48AC"/>
    <w:rsid w:val="005C4C63"/>
    <w:rsid w:val="005D27EC"/>
    <w:rsid w:val="005D2F2A"/>
    <w:rsid w:val="005D30F0"/>
    <w:rsid w:val="006148C7"/>
    <w:rsid w:val="006A4FED"/>
    <w:rsid w:val="006D435F"/>
    <w:rsid w:val="006E6221"/>
    <w:rsid w:val="00720782"/>
    <w:rsid w:val="00725970"/>
    <w:rsid w:val="00725F81"/>
    <w:rsid w:val="007378FA"/>
    <w:rsid w:val="00783310"/>
    <w:rsid w:val="00793D9C"/>
    <w:rsid w:val="007A2D83"/>
    <w:rsid w:val="007D347E"/>
    <w:rsid w:val="007E3206"/>
    <w:rsid w:val="00817A16"/>
    <w:rsid w:val="008211D5"/>
    <w:rsid w:val="00892D75"/>
    <w:rsid w:val="008E4A44"/>
    <w:rsid w:val="00904BDA"/>
    <w:rsid w:val="009447F4"/>
    <w:rsid w:val="00964682"/>
    <w:rsid w:val="00965DAA"/>
    <w:rsid w:val="009B5E99"/>
    <w:rsid w:val="009B63F6"/>
    <w:rsid w:val="009D540E"/>
    <w:rsid w:val="009E0689"/>
    <w:rsid w:val="00A02E34"/>
    <w:rsid w:val="00A03044"/>
    <w:rsid w:val="00A416E1"/>
    <w:rsid w:val="00A45197"/>
    <w:rsid w:val="00A57843"/>
    <w:rsid w:val="00A617AD"/>
    <w:rsid w:val="00A74EB1"/>
    <w:rsid w:val="00A74FF9"/>
    <w:rsid w:val="00A85B38"/>
    <w:rsid w:val="00AB6CC6"/>
    <w:rsid w:val="00AC3A11"/>
    <w:rsid w:val="00AF038C"/>
    <w:rsid w:val="00B0365A"/>
    <w:rsid w:val="00B45368"/>
    <w:rsid w:val="00B64C2E"/>
    <w:rsid w:val="00B755AF"/>
    <w:rsid w:val="00B77410"/>
    <w:rsid w:val="00BB0715"/>
    <w:rsid w:val="00BB32E3"/>
    <w:rsid w:val="00BF494D"/>
    <w:rsid w:val="00BF4A6C"/>
    <w:rsid w:val="00C00FE0"/>
    <w:rsid w:val="00C021C0"/>
    <w:rsid w:val="00C118C2"/>
    <w:rsid w:val="00C17677"/>
    <w:rsid w:val="00C35E14"/>
    <w:rsid w:val="00C557BC"/>
    <w:rsid w:val="00CB4C11"/>
    <w:rsid w:val="00CC4830"/>
    <w:rsid w:val="00CC56DD"/>
    <w:rsid w:val="00CD3B1D"/>
    <w:rsid w:val="00D15912"/>
    <w:rsid w:val="00D26855"/>
    <w:rsid w:val="00D6713C"/>
    <w:rsid w:val="00D81DD1"/>
    <w:rsid w:val="00DC17CC"/>
    <w:rsid w:val="00DE1485"/>
    <w:rsid w:val="00DE40EA"/>
    <w:rsid w:val="00DE7A8E"/>
    <w:rsid w:val="00E0182D"/>
    <w:rsid w:val="00E551B5"/>
    <w:rsid w:val="00E65762"/>
    <w:rsid w:val="00E75522"/>
    <w:rsid w:val="00E803A9"/>
    <w:rsid w:val="00EB3B5C"/>
    <w:rsid w:val="00EC3508"/>
    <w:rsid w:val="00ED0879"/>
    <w:rsid w:val="00EE226A"/>
    <w:rsid w:val="00F16CF5"/>
    <w:rsid w:val="00F70D7C"/>
    <w:rsid w:val="00F8499F"/>
    <w:rsid w:val="00FA3FC4"/>
    <w:rsid w:val="00FA5D0F"/>
    <w:rsid w:val="00FA6399"/>
    <w:rsid w:val="00FD3F64"/>
    <w:rsid w:val="00FE17F4"/>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923760341">
      <w:bodyDiv w:val="1"/>
      <w:marLeft w:val="0"/>
      <w:marRight w:val="0"/>
      <w:marTop w:val="0"/>
      <w:marBottom w:val="0"/>
      <w:divBdr>
        <w:top w:val="none" w:sz="0" w:space="0" w:color="auto"/>
        <w:left w:val="none" w:sz="0" w:space="0" w:color="auto"/>
        <w:bottom w:val="none" w:sz="0" w:space="0" w:color="auto"/>
        <w:right w:val="none" w:sz="0" w:space="0" w:color="auto"/>
      </w:divBdr>
    </w:div>
    <w:div w:id="1061825128">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1739328459">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 w:id="20712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pcc.gov.uk/transparency/myoffice/disclosable-interests/" TargetMode="External"/><Relationship Id="rId3" Type="http://schemas.openxmlformats.org/officeDocument/2006/relationships/settings" Target="settings.xml"/><Relationship Id="rId7" Type="http://schemas.openxmlformats.org/officeDocument/2006/relationships/hyperlink" Target="https://www.herts-pcc.gov.uk/transparency/finances-and-reser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1070</Words>
  <Characters>5922</Characters>
  <Application>Microsoft Office Word</Application>
  <DocSecurity>0</DocSecurity>
  <Lines>155</Lines>
  <Paragraphs>62</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97</cp:revision>
  <cp:lastPrinted>2020-06-02T14:13:00Z</cp:lastPrinted>
  <dcterms:created xsi:type="dcterms:W3CDTF">2014-12-02T09:41:00Z</dcterms:created>
  <dcterms:modified xsi:type="dcterms:W3CDTF">2025-09-17T09:40:00Z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