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6301B9F7"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20</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18060520" w14:textId="77777777" w:rsidR="005242E0" w:rsidRDefault="005242E0" w:rsidP="00C557BC">
      <w:pPr>
        <w:pStyle w:val="NoSpacing"/>
        <w:spacing w:line="360" w:lineRule="auto"/>
        <w:rPr>
          <w:rFonts w:ascii="Aptos" w:eastAsiaTheme="minorHAnsi" w:hAnsi="Aptos" w:cstheme="minorHAnsi"/>
          <w:sz w:val="24"/>
          <w:szCs w:val="24"/>
          <w:lang w:val="en-GB"/>
        </w:rPr>
      </w:pPr>
    </w:p>
    <w:p w14:paraId="1E8E5F2E"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What formal mechanisms does the OPCC have in place to scrutinise PSD (Professional Standards Department) activity when it is conducted by another force on Hertfordshire territory or affecting Hertfordshire personnel or residents?</w:t>
      </w:r>
    </w:p>
    <w:p w14:paraId="56E62A79"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56F837BA"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Please be advised that the Office of the Police and Crime Commissioner does not hold any information on this subject.  </w:t>
      </w:r>
    </w:p>
    <w:p w14:paraId="0B7EB743"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17492CE8"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Please provide any meeting minutes, emails, or briefing notes where concerns were raised by OPCC staff regarding BWV access, deletion, or evidential handling by another force’s officers.</w:t>
      </w:r>
    </w:p>
    <w:p w14:paraId="6D4C7028"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2877B15C"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Please be advised that the Office of the Police and Crime Commissioner does not hold this information.  Our office only deals with complaints about the Police and not concerns which may be raised regarding the access of other forces to BWV.</w:t>
      </w:r>
    </w:p>
    <w:p w14:paraId="12DBCF98"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15B7C467"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Has the Commissioner or any senior OPCC staff ever challenged or formally queried the legality or proportionality of data access by Bedfordshire or Cambridgeshire officers under tri-force sharing schemes? If so, provide correspondence or notes.</w:t>
      </w:r>
    </w:p>
    <w:p w14:paraId="45F65026" w14:textId="77777777" w:rsidR="00C17677" w:rsidRPr="00037A16" w:rsidRDefault="00C17677" w:rsidP="00C17677">
      <w:pPr>
        <w:pStyle w:val="NoSpacing"/>
        <w:spacing w:line="360" w:lineRule="auto"/>
        <w:ind w:left="720"/>
        <w:rPr>
          <w:rFonts w:ascii="Aptos" w:eastAsiaTheme="minorHAnsi" w:hAnsi="Aptos" w:cstheme="minorHAnsi"/>
          <w:b/>
          <w:bCs/>
          <w:sz w:val="24"/>
          <w:szCs w:val="24"/>
          <w:lang w:val="en-GB"/>
        </w:rPr>
      </w:pPr>
    </w:p>
    <w:p w14:paraId="156DAC81" w14:textId="77777777" w:rsidR="00C17677" w:rsidRPr="00037A16" w:rsidRDefault="00C17677" w:rsidP="00C17677">
      <w:pPr>
        <w:pStyle w:val="NoSpacing"/>
        <w:spacing w:line="360" w:lineRule="auto"/>
      </w:pPr>
      <w:r w:rsidRPr="00037A16">
        <w:rPr>
          <w:rFonts w:ascii="Aptos" w:eastAsiaTheme="minorHAnsi" w:hAnsi="Aptos" w:cstheme="minorHAnsi"/>
          <w:sz w:val="24"/>
          <w:szCs w:val="24"/>
          <w:lang w:val="en-GB"/>
        </w:rPr>
        <w:lastRenderedPageBreak/>
        <w:t xml:space="preserve">Please be advised that the office of the Police and Crime Commissioner does not hold this information.  You may wish to refer your request to Hertfordshire Constabulary who may hold information relevant to your request.  You can do this at the following link if you wish to do so: </w:t>
      </w:r>
      <w:hyperlink r:id="rId7" w:history="1">
        <w:r w:rsidRPr="00037A16">
          <w:rPr>
            <w:rStyle w:val="Hyperlink"/>
            <w:rFonts w:ascii="Aptos" w:eastAsiaTheme="minorHAnsi" w:hAnsi="Aptos" w:cstheme="minorHAnsi"/>
            <w:sz w:val="24"/>
            <w:szCs w:val="24"/>
          </w:rPr>
          <w:t>Make an FOI request to ask for information about the police | Hertfordshire Constabulary</w:t>
        </w:r>
      </w:hyperlink>
    </w:p>
    <w:p w14:paraId="2B7F9D84"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59CAA3D3"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all internal guidance, policies, or checklists used by OPCC complaint handlers when reviewing cases involving BWV.</w:t>
      </w:r>
    </w:p>
    <w:p w14:paraId="4DFBAB72"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4AED0D6E"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Please see the attached document entitled ‘BWV Database crib sheet’ which is the internal guidance given to complaint handlers advising how to record BWV or its absence when dealing with complaints from members of the public. </w:t>
      </w:r>
    </w:p>
    <w:p w14:paraId="032906B6"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57F32E1C"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How many cases since 2020 were escalated by OPCC staff due to concerns over data unavailability, officer conduct, or BWV irregularities?</w:t>
      </w:r>
    </w:p>
    <w:p w14:paraId="273CD8A5"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644FEEB5"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Please be advised that the office of the Police and Crime Commissioner does not hold any information on this subject. </w:t>
      </w:r>
    </w:p>
    <w:p w14:paraId="69857B81"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40DFF754"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Has the OPCC ever sought legal advice regarding the sufficiency of data sharing agreements between Hertfordshire and its tri-force partners? If so, provide the dates and topics of those instructions.</w:t>
      </w:r>
    </w:p>
    <w:p w14:paraId="6B2027D5"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4BA4F9CF"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Please be advised that the office of the Police and Crime Commissioner does not hold any information on this subject. </w:t>
      </w:r>
    </w:p>
    <w:p w14:paraId="1310558A"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74AE52B7"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Please provide a list of every audit or review carried out by the OPCC regarding cross-border access to Athena, BWV footage, or complaint databases since 2019.</w:t>
      </w:r>
    </w:p>
    <w:p w14:paraId="5EA8308A"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755AF3EC"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Please be advised that the office of the Police and Crime Commissioner does not hold any information on this subject. </w:t>
      </w:r>
    </w:p>
    <w:p w14:paraId="3D4CA41D"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4040BE48"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 xml:space="preserve">What controls exist to prevent or monitor unauthorised access to </w:t>
      </w:r>
      <w:r w:rsidRPr="00037A16">
        <w:rPr>
          <w:rFonts w:ascii="Aptos" w:eastAsiaTheme="minorHAnsi" w:hAnsi="Aptos" w:cstheme="minorHAnsi"/>
          <w:b/>
          <w:bCs/>
          <w:sz w:val="24"/>
          <w:szCs w:val="24"/>
          <w:lang w:val="en-GB"/>
        </w:rPr>
        <w:lastRenderedPageBreak/>
        <w:t>Hertfordshire complaints by officers employed in other forces’ PSD units?</w:t>
      </w:r>
    </w:p>
    <w:p w14:paraId="0ED0B084"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7710820E" w14:textId="77777777" w:rsidR="00C17677" w:rsidRPr="00037A16" w:rsidRDefault="00C17677" w:rsidP="00C17677">
      <w:pPr>
        <w:pStyle w:val="NoSpacing"/>
        <w:spacing w:line="360" w:lineRule="auto"/>
      </w:pPr>
      <w:r w:rsidRPr="00037A16">
        <w:rPr>
          <w:rFonts w:ascii="Aptos" w:eastAsiaTheme="minorHAnsi" w:hAnsi="Aptos" w:cstheme="minorHAnsi"/>
          <w:sz w:val="24"/>
          <w:szCs w:val="24"/>
          <w:lang w:val="en-GB"/>
        </w:rPr>
        <w:t xml:space="preserve">Please be advised that the office of the Police and Crime Commissioner does not hold this information. Therefore, you may wish to refer your request to the Constabulary who may hold information relevant to your request, which you can do at the following link if you wish to do so: </w:t>
      </w:r>
      <w:hyperlink r:id="rId8" w:history="1">
        <w:r w:rsidRPr="00037A16">
          <w:rPr>
            <w:rStyle w:val="Hyperlink"/>
            <w:rFonts w:ascii="Aptos" w:eastAsiaTheme="minorHAnsi" w:hAnsi="Aptos" w:cstheme="minorHAnsi"/>
            <w:sz w:val="24"/>
            <w:szCs w:val="24"/>
          </w:rPr>
          <w:t>Make an FOI request to ask for information about the police | Hertfordshire Constabulary</w:t>
        </w:r>
      </w:hyperlink>
    </w:p>
    <w:p w14:paraId="4F5A4593"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552C0738"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Has any OPCC officer flagged a data protection concern internally since 2020 relating to external force access to Hertfordshire records? Provide redacted versions of the concerns raised.</w:t>
      </w:r>
    </w:p>
    <w:p w14:paraId="151DE1FD"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367356F1"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01DB1F97"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4E5794A2"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Has the OPCC ever declined to sign or delayed agreement to a data sharing or tri-force governance document due to legal or operational concerns?</w:t>
      </w:r>
    </w:p>
    <w:p w14:paraId="10EDEE36"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12D8528E"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The Office of the Police and Crime Commissioner does not hold this information.</w:t>
      </w:r>
    </w:p>
    <w:p w14:paraId="0FE3C943"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30ACC13E"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Please confirm the number of complaints received by the OPCC since 2020 that were initially assessed as ‘low-level’ but were later escalated due to evidence conflicts or cross-force involvement.</w:t>
      </w:r>
    </w:p>
    <w:p w14:paraId="6E7E4050"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7C762044"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5AC0BD6C"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2F2FC7A7"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internal communications (emails, memos) regarding whether BWV evidence is consistently obtained and retained before OPCC reviews misconduct complaints.</w:t>
      </w:r>
    </w:p>
    <w:p w14:paraId="570B2F54"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6323854D"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any information on this subject. </w:t>
      </w:r>
    </w:p>
    <w:p w14:paraId="64BDC85E"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5FBC9F7B"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bookmarkStart w:id="0" w:name="_Hlk206067872"/>
      <w:r w:rsidRPr="00037A16">
        <w:rPr>
          <w:rFonts w:ascii="Aptos" w:eastAsiaTheme="minorHAnsi" w:hAnsi="Aptos" w:cstheme="minorHAnsi"/>
          <w:b/>
          <w:bCs/>
          <w:sz w:val="24"/>
          <w:szCs w:val="24"/>
          <w:lang w:val="en-GB"/>
        </w:rPr>
        <w:t xml:space="preserve">Has the OPCC conducted any risk assessment regarding reputational harm, legal liability, or public confidence relating to data loss, BWV tampering, or </w:t>
      </w:r>
      <w:r w:rsidRPr="00037A16">
        <w:rPr>
          <w:rFonts w:ascii="Aptos" w:eastAsiaTheme="minorHAnsi" w:hAnsi="Aptos" w:cstheme="minorHAnsi"/>
          <w:b/>
          <w:bCs/>
          <w:sz w:val="24"/>
          <w:szCs w:val="24"/>
          <w:lang w:val="en-GB"/>
        </w:rPr>
        <w:lastRenderedPageBreak/>
        <w:t>complaint mishandling?</w:t>
      </w:r>
      <w:bookmarkEnd w:id="0"/>
    </w:p>
    <w:p w14:paraId="623F09A6"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27620896" w14:textId="77777777" w:rsidR="00C17677" w:rsidRPr="00037A16" w:rsidRDefault="00C17677" w:rsidP="00C17677">
      <w:pPr>
        <w:pStyle w:val="NoSpacing"/>
        <w:spacing w:line="360" w:lineRule="auto"/>
      </w:pPr>
      <w:r w:rsidRPr="00037A16">
        <w:rPr>
          <w:rFonts w:ascii="Aptos" w:eastAsiaTheme="minorHAnsi" w:hAnsi="Aptos" w:cstheme="minorHAnsi"/>
          <w:sz w:val="24"/>
          <w:szCs w:val="24"/>
          <w:lang w:val="en-GB"/>
        </w:rPr>
        <w:t xml:space="preserve">Please be advised that the office of the Police and Crime Commissioner does not hold this information. You may wish to refer your request to the Constabulary who may hold information relevant to your request. You can do this at the following link if you wish to do so: </w:t>
      </w:r>
      <w:hyperlink r:id="rId9" w:history="1">
        <w:r w:rsidRPr="00037A16">
          <w:rPr>
            <w:rStyle w:val="Hyperlink"/>
            <w:rFonts w:ascii="Aptos" w:eastAsiaTheme="minorHAnsi" w:hAnsi="Aptos" w:cstheme="minorHAnsi"/>
            <w:sz w:val="24"/>
            <w:szCs w:val="24"/>
          </w:rPr>
          <w:t>Make an FOI request to ask for information about the police | Hertfordshire Constabulary</w:t>
        </w:r>
      </w:hyperlink>
    </w:p>
    <w:p w14:paraId="76F02FD1"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77675025"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What thresholds or triage mechanisms are used by your Complaint Resolution Team to decide whether BWV footage should be reviewed, requested, or escalated?</w:t>
      </w:r>
    </w:p>
    <w:p w14:paraId="517A98F2"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674A5F58"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BWV will be searched for and viewed (if available) for any complaint received that can be resolved by viewing the actions of officers at the scene by the Complaint Resolution Team (CRT).  Where there is no requirement to view BWV, such as when lack of contact from an officer is raised as a concern, CRT would not access the BWV system as it is not required to resolve the complaint. </w:t>
      </w:r>
    </w:p>
    <w:p w14:paraId="2B388E3C"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33B5506A"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Does the OPCC maintain a log or audit trail of who within the office accesses BWV, complaint records, or internal police data?</w:t>
      </w:r>
    </w:p>
    <w:p w14:paraId="4DDACA53"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5D90A77F"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117688B5"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0B674BDE"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any policies, procedures, or protocols that govern how OPCC staff engage with BWV — including training documents or data handling instructions.</w:t>
      </w:r>
    </w:p>
    <w:p w14:paraId="14D63B66"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79B170EC"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This request is similar to request number 4. Please refer to that response. </w:t>
      </w:r>
    </w:p>
    <w:p w14:paraId="274608C5"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44CB2AEF"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What proactive oversight does the OPCC undertake to ensure that shared custody suite operations meet minimum standards on detainee rights, BWV integrity, and complaints accessibility?</w:t>
      </w:r>
    </w:p>
    <w:p w14:paraId="413AE399"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0B3A3715" w14:textId="77777777" w:rsidR="00C17677" w:rsidRPr="001E7B9A"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Commissioner is not responsible for the day to day operation of the custody suites, </w:t>
      </w:r>
      <w:r w:rsidRPr="00037A16">
        <w:rPr>
          <w:rFonts w:ascii="Aptos" w:eastAsiaTheme="minorHAnsi" w:hAnsi="Aptos" w:cstheme="minorHAnsi"/>
          <w:sz w:val="24"/>
          <w:szCs w:val="24"/>
          <w:lang w:val="en-GB"/>
        </w:rPr>
        <w:lastRenderedPageBreak/>
        <w:t xml:space="preserve">however, the office of the Police and Crime Commissioner operates an Independent Custody Visiting scheme following the Home Office Code of Practice on Independent Custody Visting published in March 2013.  This can be found on the Home Office website and relates specifically to the welfare of detainees in police custody: </w:t>
      </w:r>
      <w:hyperlink r:id="rId10" w:history="1">
        <w:r w:rsidRPr="00037A16">
          <w:rPr>
            <w:rStyle w:val="Hyperlink"/>
            <w:rFonts w:ascii="Aptos" w:eastAsiaTheme="minorHAnsi" w:hAnsi="Aptos" w:cstheme="minorHAnsi"/>
            <w:b/>
            <w:bCs/>
            <w:sz w:val="24"/>
            <w:szCs w:val="24"/>
            <w:lang w:val="en-GB"/>
          </w:rPr>
          <w:t>https://assets.publishing.service.gov.uk/media/5a7cd2b740f0b65b3de0b622/Independent_custody_visitors_code_of_practice.pdf</w:t>
        </w:r>
      </w:hyperlink>
      <w:r w:rsidRPr="00037A16">
        <w:rPr>
          <w:rFonts w:ascii="Aptos" w:eastAsiaTheme="minorHAnsi" w:hAnsi="Aptos" w:cstheme="minorHAnsi"/>
          <w:sz w:val="24"/>
          <w:szCs w:val="24"/>
          <w:lang w:val="en-GB"/>
        </w:rPr>
        <w:t xml:space="preserve">. </w:t>
      </w:r>
    </w:p>
    <w:p w14:paraId="535FD394"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1E44C263"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Have any incidents been reported to the Commissioner involving alleged cross-force conflicts of interest in the handling of misconduct complaints or PSD investigations?</w:t>
      </w:r>
    </w:p>
    <w:p w14:paraId="4EE21FD6"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53EC46B5"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2A617229"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776551A7"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copies of any internal review, internal audit, or external consultancy work commissioned by the OPCC to assess the adequacy of its FOI and complaint-handling practices.</w:t>
      </w:r>
    </w:p>
    <w:p w14:paraId="04FA6DCE" w14:textId="77777777" w:rsidR="00C17677" w:rsidRPr="00037A16" w:rsidRDefault="00C17677" w:rsidP="00C17677">
      <w:pPr>
        <w:pStyle w:val="ListParagraph"/>
        <w:rPr>
          <w:rFonts w:ascii="Aptos" w:hAnsi="Aptos" w:cstheme="minorHAnsi"/>
          <w:sz w:val="24"/>
          <w:szCs w:val="24"/>
        </w:rPr>
      </w:pPr>
    </w:p>
    <w:p w14:paraId="16532E50"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10246891"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5FCC2A50"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Has the OPCC ever issued a warning, formal challenge, or written representation to Hertfordshire Constabulary over information withheld from the OPCC during a complaint or oversight process?</w:t>
      </w:r>
    </w:p>
    <w:p w14:paraId="36801C46"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6BC981C5"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2C844254"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68F14962"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a breakdown of all OPCC staff who have received training on FOI law, data protection, complaint handling, and cross-force operational integrity in the past three years (job title and date).</w:t>
      </w:r>
    </w:p>
    <w:p w14:paraId="0B992FA3"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0EC53D6F"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The Office of the Police and Crime Commissioner does not hold this information.</w:t>
      </w:r>
    </w:p>
    <w:p w14:paraId="3FD28E29"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0BA495A3"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How many OPCC staff currently have system-level access to Athena, BWV libraries, or complaint registers maintained by Hertfordshire Constabulary?</w:t>
      </w:r>
    </w:p>
    <w:p w14:paraId="440D406B"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4B6D172C"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331EC5B5"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3E93789C"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Have any data incidents, unauthorised access reports, or ICO reportable breaches occurred within the OPCC since January 2020? If so, provide dates and nature.</w:t>
      </w:r>
    </w:p>
    <w:p w14:paraId="3A86D9EE" w14:textId="77777777" w:rsidR="00C17677" w:rsidRPr="00037A16" w:rsidRDefault="00C17677" w:rsidP="00C17677">
      <w:pPr>
        <w:pStyle w:val="NoSpacing"/>
        <w:spacing w:line="360" w:lineRule="auto"/>
        <w:ind w:left="720"/>
        <w:rPr>
          <w:rFonts w:ascii="Aptos" w:eastAsiaTheme="minorHAnsi" w:hAnsi="Aptos" w:cstheme="minorHAnsi"/>
          <w:sz w:val="24"/>
          <w:szCs w:val="24"/>
          <w:lang w:val="en-GB"/>
        </w:rPr>
      </w:pPr>
    </w:p>
    <w:p w14:paraId="62635075"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No ICO breaches have been recorded in the OPCC since January 2020.  </w:t>
      </w:r>
    </w:p>
    <w:p w14:paraId="17127FE8"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3BC1B43C"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the total number of times the OPCC has formally asked Hertfordshire Constabulary to retrieve BWV on behalf of a complainant or due to a concern raised during oversight.</w:t>
      </w:r>
    </w:p>
    <w:p w14:paraId="112C2A2E"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665AEC05"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as we do not ask Hertfordshire Constabulary for BWV. If a complainant requests BWV, they are signposted to the appropriate department within the Constabulary. </w:t>
      </w:r>
    </w:p>
    <w:p w14:paraId="491D5654"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0585BE8B"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What arrangements exist between Hertfordshire OPCC and the IOPC to jointly manage, refer or escalate complaints that involve multiple forces, data anomalies, or BWV concerns?</w:t>
      </w:r>
    </w:p>
    <w:p w14:paraId="76EB8ECB"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45D1F9B5"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any information on this subject.  The office does not jointly manage any complaints with the IOPC.  If a complaint needs to be transferred to IOPC, it will be referred to the PSD in the first instance, as per the statutory guidance on complaints. </w:t>
      </w:r>
    </w:p>
    <w:p w14:paraId="23656741"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0436DB92"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a summary of any correspondence with Bedfordshire or Cambridgeshire OPCCs relating to complaints, BWV evidence, data integrity, or PSD conduct between 2020 and present.</w:t>
      </w:r>
    </w:p>
    <w:p w14:paraId="479210EF"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49A070B3"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I can confirm that the information you have requested does not exist in a written summary format. Under Section 1 of the Freedom of Information Act 2000 (FOIA), public authorities are not required to create new information in order to respond to a request. The FOIA provides access to recorded information held at the time of the request rather </w:t>
      </w:r>
      <w:r w:rsidRPr="00037A16">
        <w:rPr>
          <w:rFonts w:ascii="Aptos" w:eastAsiaTheme="minorHAnsi" w:hAnsi="Aptos" w:cstheme="minorHAnsi"/>
          <w:sz w:val="24"/>
          <w:szCs w:val="24"/>
          <w:lang w:val="en-GB"/>
        </w:rPr>
        <w:lastRenderedPageBreak/>
        <w:t xml:space="preserve">than generation of new content. </w:t>
      </w:r>
    </w:p>
    <w:p w14:paraId="2B104EA2"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2BA55AE5"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Has the OPCC ever received or reviewed any whistleblowing reports related to misconduct complaints, BWV tampering, or PSD access across tri-force systems?</w:t>
      </w:r>
    </w:p>
    <w:p w14:paraId="019CC5F5"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7662F568"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4D6D99D5"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00B359EC"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What documented assurances or contractual guarantees has the OPCC received confirming that shared digital policing platforms (e.g., Athena) meet data protection and security standards?</w:t>
      </w:r>
    </w:p>
    <w:p w14:paraId="7B8D6888" w14:textId="77777777" w:rsidR="00C17677" w:rsidRPr="00037A16" w:rsidRDefault="00C17677" w:rsidP="00C17677">
      <w:pPr>
        <w:pStyle w:val="NoSpacing"/>
        <w:spacing w:line="360" w:lineRule="auto"/>
        <w:ind w:left="720"/>
        <w:rPr>
          <w:rFonts w:ascii="Aptos" w:eastAsiaTheme="minorHAnsi" w:hAnsi="Aptos" w:cstheme="minorHAnsi"/>
          <w:sz w:val="24"/>
          <w:szCs w:val="24"/>
          <w:lang w:val="en-GB"/>
        </w:rPr>
      </w:pPr>
    </w:p>
    <w:p w14:paraId="7AF01347" w14:textId="77777777" w:rsidR="00C17677" w:rsidRPr="00037A16" w:rsidRDefault="00C17677" w:rsidP="00C17677">
      <w:pPr>
        <w:pStyle w:val="NoSpacing"/>
        <w:spacing w:line="360" w:lineRule="auto"/>
        <w:rPr>
          <w:rFonts w:ascii="Aptos" w:eastAsiaTheme="minorHAnsi" w:hAnsi="Aptos" w:cstheme="minorHAnsi"/>
          <w:sz w:val="24"/>
          <w:szCs w:val="24"/>
        </w:rPr>
      </w:pPr>
      <w:r w:rsidRPr="00037A16">
        <w:rPr>
          <w:rFonts w:ascii="Aptos" w:eastAsiaTheme="minorHAnsi" w:hAnsi="Aptos" w:cstheme="minorHAnsi"/>
          <w:sz w:val="24"/>
          <w:szCs w:val="24"/>
        </w:rPr>
        <w:t>Bedfordshire, Cambridgeshire &amp; Hertfordshire (BCH) OPCCs all share the same ICT network and systems and follow the same protocols, data protection and security standards. All staff are appropriately vetted and annually sign the BCH system operating procedures (SyOps).  System and data access is granted as per role-based access and staff complete the same mandated data protection training as all other BCH police officers and staff.    </w:t>
      </w:r>
    </w:p>
    <w:p w14:paraId="6720897F"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6647ACF8"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Has the OPCC carried out any internal simulation, audit, or test case to verify what happens when a complaint involves officers from multiple forces and shared infrastructure (e.g., BWV from Herts but custody in Beds)?</w:t>
      </w:r>
    </w:p>
    <w:p w14:paraId="66C38C25"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76E4506A" w14:textId="77777777" w:rsidR="00C17677" w:rsidRPr="00037A16"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 xml:space="preserve">The office of the Police and Crime Commissioner does not hold this information. </w:t>
      </w:r>
    </w:p>
    <w:p w14:paraId="2FEDDEB5" w14:textId="77777777" w:rsidR="00C17677" w:rsidRPr="00037A16" w:rsidRDefault="00C17677" w:rsidP="00C17677">
      <w:pPr>
        <w:pStyle w:val="NoSpacing"/>
        <w:spacing w:line="360" w:lineRule="auto"/>
        <w:rPr>
          <w:rFonts w:ascii="Aptos" w:eastAsiaTheme="minorHAnsi" w:hAnsi="Aptos" w:cstheme="minorHAnsi"/>
          <w:sz w:val="24"/>
          <w:szCs w:val="24"/>
          <w:lang w:val="en-GB"/>
        </w:rPr>
      </w:pPr>
    </w:p>
    <w:p w14:paraId="53858451" w14:textId="77777777" w:rsidR="00C17677" w:rsidRPr="00037A16" w:rsidRDefault="00C17677" w:rsidP="00C17677">
      <w:pPr>
        <w:pStyle w:val="NoSpacing"/>
        <w:numPr>
          <w:ilvl w:val="0"/>
          <w:numId w:val="55"/>
        </w:numPr>
        <w:spacing w:line="360" w:lineRule="auto"/>
        <w:rPr>
          <w:rFonts w:ascii="Aptos" w:eastAsiaTheme="minorHAnsi" w:hAnsi="Aptos" w:cstheme="minorHAnsi"/>
          <w:sz w:val="24"/>
          <w:szCs w:val="24"/>
          <w:lang w:val="en-GB"/>
        </w:rPr>
      </w:pPr>
      <w:r w:rsidRPr="00037A16">
        <w:rPr>
          <w:rFonts w:ascii="Aptos" w:eastAsiaTheme="minorHAnsi" w:hAnsi="Aptos" w:cstheme="minorHAnsi"/>
          <w:b/>
          <w:bCs/>
          <w:sz w:val="24"/>
          <w:szCs w:val="24"/>
          <w:lang w:val="en-GB"/>
        </w:rPr>
        <w:t>Provide copies of any action plans, performance reviews, or KPI dashboards used by the OPCC to track how effectively complaints involving BWV or PSD are handled across force boundaries.</w:t>
      </w:r>
    </w:p>
    <w:p w14:paraId="44320AF7" w14:textId="77777777" w:rsidR="00C17677" w:rsidRPr="00037A16" w:rsidRDefault="00C17677" w:rsidP="00C17677">
      <w:pPr>
        <w:pStyle w:val="NoSpacing"/>
        <w:spacing w:line="360" w:lineRule="auto"/>
        <w:rPr>
          <w:rFonts w:ascii="Aptos" w:eastAsiaTheme="minorHAnsi" w:hAnsi="Aptos" w:cstheme="minorHAnsi"/>
          <w:b/>
          <w:bCs/>
          <w:sz w:val="24"/>
          <w:szCs w:val="24"/>
          <w:lang w:val="en-GB"/>
        </w:rPr>
      </w:pPr>
    </w:p>
    <w:p w14:paraId="4EDB8304" w14:textId="77777777" w:rsidR="00C17677" w:rsidRPr="002C1FCA" w:rsidRDefault="00C17677" w:rsidP="00C17677">
      <w:pPr>
        <w:pStyle w:val="NoSpacing"/>
        <w:spacing w:line="360" w:lineRule="auto"/>
        <w:rPr>
          <w:rFonts w:ascii="Aptos" w:eastAsiaTheme="minorHAnsi" w:hAnsi="Aptos" w:cstheme="minorHAnsi"/>
          <w:sz w:val="24"/>
          <w:szCs w:val="24"/>
          <w:lang w:val="en-GB"/>
        </w:rPr>
      </w:pPr>
      <w:r w:rsidRPr="00037A16">
        <w:rPr>
          <w:rFonts w:ascii="Aptos" w:eastAsiaTheme="minorHAnsi" w:hAnsi="Aptos" w:cstheme="minorHAnsi"/>
          <w:sz w:val="24"/>
          <w:szCs w:val="24"/>
          <w:lang w:val="en-GB"/>
        </w:rPr>
        <w:t>The office of the Police and Crime Commissioner does not hold this information.</w:t>
      </w:r>
      <w:r>
        <w:rPr>
          <w:rFonts w:ascii="Aptos" w:eastAsiaTheme="minorHAnsi" w:hAnsi="Aptos" w:cstheme="minorHAnsi"/>
          <w:sz w:val="24"/>
          <w:szCs w:val="24"/>
          <w:lang w:val="en-GB"/>
        </w:rPr>
        <w:t xml:space="preserve"> </w:t>
      </w:r>
    </w:p>
    <w:p w14:paraId="563E0FC3" w14:textId="77777777" w:rsidR="00C17677" w:rsidRDefault="00C17677" w:rsidP="00C17677">
      <w:pPr>
        <w:pStyle w:val="NoSpacing"/>
        <w:spacing w:line="360" w:lineRule="auto"/>
        <w:rPr>
          <w:rFonts w:ascii="Aptos" w:eastAsiaTheme="minorHAnsi" w:hAnsi="Aptos" w:cstheme="minorHAnsi"/>
          <w:sz w:val="24"/>
          <w:szCs w:val="24"/>
          <w:lang w:val="en-GB"/>
        </w:rPr>
      </w:pPr>
    </w:p>
    <w:p w14:paraId="3391AC9D" w14:textId="77777777" w:rsidR="00DE7A8E" w:rsidRPr="00A416E1" w:rsidRDefault="00DE7A8E" w:rsidP="00C557BC">
      <w:pPr>
        <w:pStyle w:val="NoSpacing"/>
        <w:spacing w:line="360" w:lineRule="auto"/>
        <w:rPr>
          <w:rFonts w:ascii="Aptos" w:eastAsiaTheme="minorHAnsi" w:hAnsi="Aptos" w:cstheme="minorHAnsi"/>
          <w:sz w:val="24"/>
          <w:szCs w:val="24"/>
          <w:lang w:val="en-GB"/>
        </w:rPr>
      </w:pPr>
    </w:p>
    <w:sectPr w:rsidR="00DE7A8E"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42B"/>
    <w:multiLevelType w:val="multilevel"/>
    <w:tmpl w:val="47808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3A30"/>
    <w:multiLevelType w:val="hybridMultilevel"/>
    <w:tmpl w:val="0C6CC7EA"/>
    <w:lvl w:ilvl="0" w:tplc="884402F0">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109EE"/>
    <w:multiLevelType w:val="hybridMultilevel"/>
    <w:tmpl w:val="9DC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A40F8"/>
    <w:multiLevelType w:val="multilevel"/>
    <w:tmpl w:val="4750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A2568"/>
    <w:multiLevelType w:val="multilevel"/>
    <w:tmpl w:val="6EB46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B565D"/>
    <w:multiLevelType w:val="hybridMultilevel"/>
    <w:tmpl w:val="F8D84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70CFE"/>
    <w:multiLevelType w:val="hybridMultilevel"/>
    <w:tmpl w:val="CF384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726B2"/>
    <w:multiLevelType w:val="multilevel"/>
    <w:tmpl w:val="43D6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BC665E"/>
    <w:multiLevelType w:val="multilevel"/>
    <w:tmpl w:val="0306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4114F5"/>
    <w:multiLevelType w:val="multilevel"/>
    <w:tmpl w:val="47169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A7A4C"/>
    <w:multiLevelType w:val="hybridMultilevel"/>
    <w:tmpl w:val="472607AA"/>
    <w:lvl w:ilvl="0" w:tplc="23E0CA60">
      <w:start w:val="1"/>
      <w:numFmt w:val="decimal"/>
      <w:lvlText w:val="%1."/>
      <w:lvlJc w:val="left"/>
      <w:pPr>
        <w:ind w:left="1080" w:hanging="720"/>
      </w:pPr>
      <w:rPr>
        <w:rFonts w:asciiTheme="minorHAnsi" w:eastAsia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E06D7"/>
    <w:multiLevelType w:val="hybridMultilevel"/>
    <w:tmpl w:val="D81E8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15879"/>
    <w:multiLevelType w:val="hybridMultilevel"/>
    <w:tmpl w:val="EAE026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27857"/>
    <w:multiLevelType w:val="multilevel"/>
    <w:tmpl w:val="D1C28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15D18"/>
    <w:multiLevelType w:val="multilevel"/>
    <w:tmpl w:val="42E0E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C365D2"/>
    <w:multiLevelType w:val="hybridMultilevel"/>
    <w:tmpl w:val="C820E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532DC4"/>
    <w:multiLevelType w:val="multilevel"/>
    <w:tmpl w:val="FB3276E4"/>
    <w:lvl w:ilvl="0">
      <w:start w:val="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36C69EC"/>
    <w:multiLevelType w:val="multilevel"/>
    <w:tmpl w:val="9BA459D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4FD0980"/>
    <w:multiLevelType w:val="multilevel"/>
    <w:tmpl w:val="3F46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A25D4"/>
    <w:multiLevelType w:val="multilevel"/>
    <w:tmpl w:val="C1404BE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942457F"/>
    <w:multiLevelType w:val="hybridMultilevel"/>
    <w:tmpl w:val="B08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0443F"/>
    <w:multiLevelType w:val="hybridMultilevel"/>
    <w:tmpl w:val="32181DC2"/>
    <w:lvl w:ilvl="0" w:tplc="A6C0BBC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C54C22"/>
    <w:multiLevelType w:val="multilevel"/>
    <w:tmpl w:val="E4B0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C21E3"/>
    <w:multiLevelType w:val="multilevel"/>
    <w:tmpl w:val="72C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F08BF"/>
    <w:multiLevelType w:val="multilevel"/>
    <w:tmpl w:val="6BC00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27C40"/>
    <w:multiLevelType w:val="multilevel"/>
    <w:tmpl w:val="D1DA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0C5F1B"/>
    <w:multiLevelType w:val="multilevel"/>
    <w:tmpl w:val="B65C8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C4388"/>
    <w:multiLevelType w:val="multilevel"/>
    <w:tmpl w:val="05E0C468"/>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C86A08"/>
    <w:multiLevelType w:val="multilevel"/>
    <w:tmpl w:val="20D0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559E0"/>
    <w:multiLevelType w:val="hybridMultilevel"/>
    <w:tmpl w:val="4B58CA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E0D182F"/>
    <w:multiLevelType w:val="multilevel"/>
    <w:tmpl w:val="DCE49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C3B37"/>
    <w:multiLevelType w:val="multilevel"/>
    <w:tmpl w:val="C33E9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43C514C"/>
    <w:multiLevelType w:val="hybridMultilevel"/>
    <w:tmpl w:val="BD944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852AC6"/>
    <w:multiLevelType w:val="multilevel"/>
    <w:tmpl w:val="758874F6"/>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4B44811"/>
    <w:multiLevelType w:val="hybridMultilevel"/>
    <w:tmpl w:val="0BB475BE"/>
    <w:lvl w:ilvl="0" w:tplc="8322529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211DE1"/>
    <w:multiLevelType w:val="multilevel"/>
    <w:tmpl w:val="F3940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527A24"/>
    <w:multiLevelType w:val="multilevel"/>
    <w:tmpl w:val="1292DFB0"/>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9C511B5"/>
    <w:multiLevelType w:val="hybridMultilevel"/>
    <w:tmpl w:val="EBD63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CE4BCB"/>
    <w:multiLevelType w:val="multilevel"/>
    <w:tmpl w:val="C7188A8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BCB48EE"/>
    <w:multiLevelType w:val="multilevel"/>
    <w:tmpl w:val="3CC01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D0855DA"/>
    <w:multiLevelType w:val="hybridMultilevel"/>
    <w:tmpl w:val="C52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4A154A"/>
    <w:multiLevelType w:val="multilevel"/>
    <w:tmpl w:val="D5D88194"/>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FF2226E"/>
    <w:multiLevelType w:val="multilevel"/>
    <w:tmpl w:val="427E6F3C"/>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1E01A77"/>
    <w:multiLevelType w:val="multilevel"/>
    <w:tmpl w:val="E9E69F94"/>
    <w:lvl w:ilvl="0">
      <w:start w:val="4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064FD4"/>
    <w:multiLevelType w:val="hybridMultilevel"/>
    <w:tmpl w:val="961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2E2A50"/>
    <w:multiLevelType w:val="hybridMultilevel"/>
    <w:tmpl w:val="BCD01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1F4065"/>
    <w:multiLevelType w:val="multilevel"/>
    <w:tmpl w:val="6C36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9E1B0A"/>
    <w:multiLevelType w:val="hybridMultilevel"/>
    <w:tmpl w:val="957066E6"/>
    <w:lvl w:ilvl="0" w:tplc="4D5635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EB0201"/>
    <w:multiLevelType w:val="hybridMultilevel"/>
    <w:tmpl w:val="EAF45A16"/>
    <w:lvl w:ilvl="0" w:tplc="10E8FB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4E82994"/>
    <w:multiLevelType w:val="multilevel"/>
    <w:tmpl w:val="8D1C0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FC29A0"/>
    <w:multiLevelType w:val="multilevel"/>
    <w:tmpl w:val="197AB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1E5383"/>
    <w:multiLevelType w:val="hybridMultilevel"/>
    <w:tmpl w:val="B0809B14"/>
    <w:lvl w:ilvl="0" w:tplc="69EE6F70">
      <w:start w:val="1"/>
      <w:numFmt w:val="bullet"/>
      <w:lvlText w:val="-"/>
      <w:lvlJc w:val="left"/>
      <w:pPr>
        <w:ind w:left="862" w:hanging="360"/>
      </w:pPr>
      <w:rPr>
        <w:rFonts w:ascii="Aptos" w:eastAsia="Aptos" w:hAnsi="Aptos"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53" w15:restartNumberingAfterBreak="0">
    <w:nsid w:val="7B540C68"/>
    <w:multiLevelType w:val="hybridMultilevel"/>
    <w:tmpl w:val="436E2B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CE669FF"/>
    <w:multiLevelType w:val="hybridMultilevel"/>
    <w:tmpl w:val="DE1C6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26808675">
    <w:abstractNumId w:val="5"/>
  </w:num>
  <w:num w:numId="2" w16cid:durableId="1491868884">
    <w:abstractNumId w:val="6"/>
  </w:num>
  <w:num w:numId="3" w16cid:durableId="806095390">
    <w:abstractNumId w:val="45"/>
  </w:num>
  <w:num w:numId="4" w16cid:durableId="1756778064">
    <w:abstractNumId w:val="48"/>
  </w:num>
  <w:num w:numId="5" w16cid:durableId="1097286709">
    <w:abstractNumId w:val="41"/>
  </w:num>
  <w:num w:numId="6" w16cid:durableId="67463503">
    <w:abstractNumId w:val="11"/>
  </w:num>
  <w:num w:numId="7" w16cid:durableId="10029287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041994">
    <w:abstractNumId w:val="12"/>
  </w:num>
  <w:num w:numId="9" w16cid:durableId="12740957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132130">
    <w:abstractNumId w:val="38"/>
  </w:num>
  <w:num w:numId="11" w16cid:durableId="648944662">
    <w:abstractNumId w:val="1"/>
  </w:num>
  <w:num w:numId="12" w16cid:durableId="1411149475">
    <w:abstractNumId w:val="21"/>
  </w:num>
  <w:num w:numId="13" w16cid:durableId="1744327155">
    <w:abstractNumId w:val="33"/>
  </w:num>
  <w:num w:numId="14" w16cid:durableId="1041369907">
    <w:abstractNumId w:val="15"/>
  </w:num>
  <w:num w:numId="15" w16cid:durableId="1883320106">
    <w:abstractNumId w:val="49"/>
  </w:num>
  <w:num w:numId="16" w16cid:durableId="200363824">
    <w:abstractNumId w:val="35"/>
  </w:num>
  <w:num w:numId="17" w16cid:durableId="617639208">
    <w:abstractNumId w:val="22"/>
  </w:num>
  <w:num w:numId="18" w16cid:durableId="1686857628">
    <w:abstractNumId w:val="10"/>
  </w:num>
  <w:num w:numId="19" w16cid:durableId="1283076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694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363948">
    <w:abstractNumId w:val="52"/>
  </w:num>
  <w:num w:numId="22" w16cid:durableId="1753161251">
    <w:abstractNumId w:val="46"/>
  </w:num>
  <w:num w:numId="23" w16cid:durableId="18382282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343042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402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361112">
    <w:abstractNumId w:val="2"/>
  </w:num>
  <w:num w:numId="27" w16cid:durableId="2510901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2890726">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731872">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6352130">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6905120">
    <w:abstractNumId w:val="4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197611">
    <w:abstractNumId w:val="3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0863946">
    <w:abstractNumId w:val="3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0585101">
    <w:abstractNumId w:val="2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5074113">
    <w:abstractNumId w:val="4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394443">
    <w:abstractNumId w:val="23"/>
  </w:num>
  <w:num w:numId="37" w16cid:durableId="523057896">
    <w:abstractNumId w:val="4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3122909">
    <w:abstractNumId w:val="51"/>
  </w:num>
  <w:num w:numId="39" w16cid:durableId="861282149">
    <w:abstractNumId w:val="16"/>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3659160">
    <w:abstractNumId w:val="3"/>
  </w:num>
  <w:num w:numId="41" w16cid:durableId="919798773">
    <w:abstractNumId w:val="47"/>
  </w:num>
  <w:num w:numId="42" w16cid:durableId="1406026421">
    <w:abstractNumId w:val="26"/>
  </w:num>
  <w:num w:numId="43" w16cid:durableId="1924990677">
    <w:abstractNumId w:val="19"/>
  </w:num>
  <w:num w:numId="44" w16cid:durableId="233199340">
    <w:abstractNumId w:val="13"/>
  </w:num>
  <w:num w:numId="45" w16cid:durableId="664819385">
    <w:abstractNumId w:val="27"/>
  </w:num>
  <w:num w:numId="46" w16cid:durableId="1789818320">
    <w:abstractNumId w:val="24"/>
  </w:num>
  <w:num w:numId="47" w16cid:durableId="187569014">
    <w:abstractNumId w:val="31"/>
  </w:num>
  <w:num w:numId="48" w16cid:durableId="2110004249">
    <w:abstractNumId w:val="36"/>
  </w:num>
  <w:num w:numId="49" w16cid:durableId="1816753036">
    <w:abstractNumId w:val="29"/>
  </w:num>
  <w:num w:numId="50" w16cid:durableId="495918336">
    <w:abstractNumId w:val="50"/>
  </w:num>
  <w:num w:numId="51" w16cid:durableId="495415324">
    <w:abstractNumId w:val="4"/>
  </w:num>
  <w:num w:numId="52" w16cid:durableId="252932441">
    <w:abstractNumId w:val="25"/>
  </w:num>
  <w:num w:numId="53" w16cid:durableId="2043676112">
    <w:abstractNumId w:val="9"/>
  </w:num>
  <w:num w:numId="54" w16cid:durableId="839852334">
    <w:abstractNumId w:val="0"/>
  </w:num>
  <w:num w:numId="55" w16cid:durableId="2688998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86F89"/>
    <w:rsid w:val="002C3487"/>
    <w:rsid w:val="00357B6F"/>
    <w:rsid w:val="003637CD"/>
    <w:rsid w:val="003820DC"/>
    <w:rsid w:val="003B34CF"/>
    <w:rsid w:val="003C33F5"/>
    <w:rsid w:val="003D5327"/>
    <w:rsid w:val="003F156B"/>
    <w:rsid w:val="00422EF8"/>
    <w:rsid w:val="00434350"/>
    <w:rsid w:val="0044325C"/>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904BDA"/>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7A8E"/>
    <w:rsid w:val="00E0182D"/>
    <w:rsid w:val="00E551B5"/>
    <w:rsid w:val="00E65762"/>
    <w:rsid w:val="00E75522"/>
    <w:rsid w:val="00E803A9"/>
    <w:rsid w:val="00EC3508"/>
    <w:rsid w:val="00ED0879"/>
    <w:rsid w:val="00EE226A"/>
    <w:rsid w:val="00F16CF5"/>
    <w:rsid w:val="00F70D7C"/>
    <w:rsid w:val="00F8499F"/>
    <w:rsid w:val="00FA3FC4"/>
    <w:rsid w:val="00FA5D0F"/>
    <w:rsid w:val="00FA6399"/>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police.uk/rqo/request/ri/request-information/foip/foi-request/" TargetMode="External"/><Relationship Id="rId3" Type="http://schemas.openxmlformats.org/officeDocument/2006/relationships/settings" Target="settings.xml"/><Relationship Id="rId7" Type="http://schemas.openxmlformats.org/officeDocument/2006/relationships/hyperlink" Target="https://www.herts.police.uk/rqo/request/ri/request-information/foip/foi-reque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ssets.publishing.service.gov.uk/media/5a7cd2b740f0b65b3de0b622/Independent_custody_visitors_code_of_practice.pdf" TargetMode="External"/><Relationship Id="rId4" Type="http://schemas.openxmlformats.org/officeDocument/2006/relationships/webSettings" Target="webSettings.xml"/><Relationship Id="rId9" Type="http://schemas.openxmlformats.org/officeDocument/2006/relationships/hyperlink" Target="https://www.herts.police.uk/rqo/request/ri/request-information/foip/foi-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7</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90</cp:revision>
  <cp:lastPrinted>2020-06-02T14:13:00Z</cp:lastPrinted>
  <dcterms:created xsi:type="dcterms:W3CDTF">2014-12-02T09:41:00Z</dcterms:created>
  <dcterms:modified xsi:type="dcterms:W3CDTF">2025-08-29T09:46:00Z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