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FE94" w14:textId="77777777" w:rsidR="005A702A" w:rsidRPr="00A416E1" w:rsidRDefault="00D26855" w:rsidP="005A702A">
      <w:pPr>
        <w:rPr>
          <w:rFonts w:ascii="Aptos" w:hAnsi="Aptos" w:cstheme="minorHAnsi"/>
          <w:sz w:val="24"/>
          <w:szCs w:val="24"/>
        </w:rPr>
      </w:pPr>
      <w:r w:rsidRPr="00A416E1">
        <w:rPr>
          <w:rFonts w:ascii="Aptos" w:hAnsi="Aptos" w:cstheme="minorHAnsi"/>
          <w:sz w:val="24"/>
          <w:szCs w:val="24"/>
        </w:rPr>
        <w:t>Dear Member of the Public</w:t>
      </w:r>
    </w:p>
    <w:p w14:paraId="1FAB2213" w14:textId="77777777" w:rsidR="005A702A" w:rsidRPr="00A416E1" w:rsidRDefault="005A702A" w:rsidP="005A702A">
      <w:pPr>
        <w:pStyle w:val="Default"/>
        <w:rPr>
          <w:rFonts w:ascii="Aptos" w:hAnsi="Aptos" w:cstheme="minorHAnsi"/>
        </w:rPr>
      </w:pPr>
      <w:r w:rsidRPr="00A416E1">
        <w:rPr>
          <w:rFonts w:ascii="Aptos" w:hAnsi="Aptos" w:cstheme="minorHAnsi"/>
        </w:rPr>
        <w:t xml:space="preserve"> </w:t>
      </w:r>
    </w:p>
    <w:p w14:paraId="70214FBA" w14:textId="7281706B" w:rsidR="00965DAA" w:rsidRPr="00A416E1" w:rsidRDefault="00725970" w:rsidP="00965DAA">
      <w:pPr>
        <w:spacing w:after="0" w:line="360" w:lineRule="auto"/>
        <w:rPr>
          <w:rFonts w:ascii="Aptos" w:hAnsi="Aptos" w:cstheme="minorHAnsi"/>
          <w:sz w:val="24"/>
          <w:szCs w:val="24"/>
        </w:rPr>
      </w:pPr>
      <w:r w:rsidRPr="00A416E1">
        <w:rPr>
          <w:rFonts w:ascii="Aptos" w:hAnsi="Aptos" w:cstheme="minorHAnsi"/>
          <w:sz w:val="24"/>
          <w:szCs w:val="24"/>
        </w:rPr>
        <w:t>I write in reply to your request for information under the Freedom of Information Act 2000, our reference number FOI 00</w:t>
      </w:r>
      <w:r w:rsidR="00A416E1" w:rsidRPr="00A416E1">
        <w:rPr>
          <w:rFonts w:ascii="Aptos" w:hAnsi="Aptos" w:cstheme="minorHAnsi"/>
          <w:sz w:val="24"/>
          <w:szCs w:val="24"/>
        </w:rPr>
        <w:t>1</w:t>
      </w:r>
      <w:r w:rsidR="009B5E99">
        <w:rPr>
          <w:rFonts w:ascii="Aptos" w:hAnsi="Aptos" w:cstheme="minorHAnsi"/>
          <w:sz w:val="24"/>
          <w:szCs w:val="24"/>
        </w:rPr>
        <w:t>6</w:t>
      </w:r>
      <w:r w:rsidRPr="00A416E1">
        <w:rPr>
          <w:rFonts w:ascii="Aptos" w:hAnsi="Aptos" w:cstheme="minorHAnsi"/>
          <w:sz w:val="24"/>
          <w:szCs w:val="24"/>
        </w:rPr>
        <w:t>/2</w:t>
      </w:r>
      <w:r w:rsidR="00725F81" w:rsidRPr="00A416E1">
        <w:rPr>
          <w:rFonts w:ascii="Aptos" w:hAnsi="Aptos" w:cstheme="minorHAnsi"/>
          <w:sz w:val="24"/>
          <w:szCs w:val="24"/>
        </w:rPr>
        <w:t>5</w:t>
      </w:r>
      <w:r w:rsidRPr="00A416E1">
        <w:rPr>
          <w:rFonts w:ascii="Aptos" w:hAnsi="Aptos" w:cstheme="minorHAnsi"/>
          <w:sz w:val="24"/>
          <w:szCs w:val="24"/>
        </w:rPr>
        <w:t xml:space="preserve">.  </w:t>
      </w:r>
    </w:p>
    <w:p w14:paraId="468ACF86" w14:textId="77777777" w:rsidR="00725970" w:rsidRPr="00A416E1" w:rsidRDefault="00725970" w:rsidP="00965DAA">
      <w:pPr>
        <w:spacing w:after="0" w:line="360" w:lineRule="auto"/>
        <w:rPr>
          <w:rFonts w:ascii="Aptos" w:hAnsi="Aptos" w:cstheme="minorHAnsi"/>
          <w:sz w:val="24"/>
          <w:szCs w:val="24"/>
        </w:rPr>
      </w:pPr>
    </w:p>
    <w:p w14:paraId="5376A399" w14:textId="5DDA590E" w:rsidR="00092822" w:rsidRPr="00A416E1" w:rsidRDefault="00092822" w:rsidP="00965DAA">
      <w:pPr>
        <w:spacing w:after="0" w:line="360" w:lineRule="auto"/>
        <w:rPr>
          <w:rFonts w:ascii="Aptos" w:hAnsi="Aptos" w:cstheme="minorHAnsi"/>
          <w:sz w:val="24"/>
          <w:szCs w:val="24"/>
        </w:rPr>
      </w:pPr>
      <w:r w:rsidRPr="00A416E1">
        <w:rPr>
          <w:rFonts w:ascii="Aptos" w:hAnsi="Aptos" w:cstheme="minorHAnsi"/>
          <w:sz w:val="24"/>
          <w:szCs w:val="24"/>
        </w:rPr>
        <w:t xml:space="preserve">I am required by the Freedom of Information Act 2000 to handle all requests in a manner that is blind to the identity of the requestor.  Any information released in response to a request is regarded as being published and therefore in the public domain without caveat.  </w:t>
      </w:r>
    </w:p>
    <w:p w14:paraId="1C975C88" w14:textId="77777777" w:rsidR="00B755AF" w:rsidRPr="00A416E1" w:rsidRDefault="00B755AF" w:rsidP="00965DAA">
      <w:pPr>
        <w:spacing w:after="0" w:line="360" w:lineRule="auto"/>
        <w:rPr>
          <w:rFonts w:ascii="Aptos" w:hAnsi="Aptos" w:cstheme="minorHAnsi"/>
          <w:sz w:val="24"/>
          <w:szCs w:val="24"/>
        </w:rPr>
      </w:pPr>
    </w:p>
    <w:p w14:paraId="4A71FE48" w14:textId="77777777" w:rsidR="001D000E" w:rsidRPr="00A416E1" w:rsidRDefault="0052532E" w:rsidP="00C557BC">
      <w:pPr>
        <w:pStyle w:val="NoSpacing"/>
        <w:spacing w:line="360" w:lineRule="auto"/>
        <w:rPr>
          <w:rFonts w:ascii="Aptos" w:eastAsiaTheme="minorHAnsi" w:hAnsi="Aptos" w:cstheme="minorHAnsi"/>
          <w:sz w:val="24"/>
          <w:szCs w:val="24"/>
          <w:lang w:val="en-GB"/>
        </w:rPr>
      </w:pPr>
      <w:r w:rsidRPr="00A416E1">
        <w:rPr>
          <w:rFonts w:ascii="Aptos" w:eastAsiaTheme="minorHAnsi" w:hAnsi="Aptos" w:cstheme="minorHAnsi"/>
          <w:sz w:val="24"/>
          <w:szCs w:val="24"/>
          <w:lang w:val="en-GB"/>
        </w:rPr>
        <w:t xml:space="preserve">For ease of reference, I have listed your questions together with our response below.  </w:t>
      </w:r>
      <w:r w:rsidR="001D000E" w:rsidRPr="00A416E1">
        <w:rPr>
          <w:rFonts w:ascii="Aptos" w:eastAsiaTheme="minorHAnsi" w:hAnsi="Aptos" w:cstheme="minorHAnsi"/>
          <w:sz w:val="24"/>
          <w:szCs w:val="24"/>
          <w:lang w:val="en-GB"/>
        </w:rPr>
        <w:t xml:space="preserve">You have requested the following information:  </w:t>
      </w:r>
    </w:p>
    <w:p w14:paraId="6EC4220E" w14:textId="77777777" w:rsidR="009447F4" w:rsidRPr="00A416E1" w:rsidRDefault="009447F4" w:rsidP="009447F4">
      <w:pPr>
        <w:rPr>
          <w:rFonts w:ascii="Aptos" w:hAnsi="Aptos" w:cstheme="minorHAnsi"/>
          <w:sz w:val="24"/>
          <w:szCs w:val="24"/>
        </w:rPr>
      </w:pPr>
    </w:p>
    <w:p w14:paraId="5E05A30E" w14:textId="77777777" w:rsidR="009B5E99" w:rsidRPr="00CF3A12"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CF3A12">
        <w:rPr>
          <w:rFonts w:ascii="Aptos" w:eastAsiaTheme="minorHAnsi" w:hAnsi="Aptos" w:cstheme="minorHAnsi"/>
          <w:b/>
          <w:bCs/>
          <w:sz w:val="24"/>
          <w:szCs w:val="24"/>
          <w:lang w:val="en-GB"/>
        </w:rPr>
        <w:t>Where and how the identity of biometric sample collectors is logged;</w:t>
      </w:r>
    </w:p>
    <w:p w14:paraId="194D2CC6" w14:textId="77777777" w:rsidR="009B5E99" w:rsidRPr="00342DCF"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CF3A12">
        <w:rPr>
          <w:rFonts w:ascii="Aptos" w:eastAsiaTheme="minorHAnsi" w:hAnsi="Aptos" w:cstheme="minorHAnsi"/>
          <w:b/>
          <w:bCs/>
          <w:sz w:val="24"/>
          <w:szCs w:val="24"/>
          <w:lang w:val="en-GB"/>
        </w:rPr>
        <w:t>The safeguards in place to protect this information and the duration of its retention;</w:t>
      </w:r>
    </w:p>
    <w:p w14:paraId="40BB75DB" w14:textId="77777777" w:rsidR="009B5E99" w:rsidRPr="00CF3A12"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CF3A12">
        <w:rPr>
          <w:rFonts w:ascii="Aptos" w:eastAsiaTheme="minorHAnsi" w:hAnsi="Aptos" w:cstheme="minorHAnsi"/>
          <w:b/>
          <w:bCs/>
          <w:sz w:val="24"/>
          <w:szCs w:val="24"/>
          <w:lang w:val="en-GB"/>
        </w:rPr>
        <w:t>Whether any successful or unsuccessful prosecutions have been challenged due to failure to identify the officer collecting biometrics;</w:t>
      </w:r>
    </w:p>
    <w:p w14:paraId="72A528CC" w14:textId="77777777" w:rsidR="009B5E99" w:rsidRPr="00342DCF"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CF3A12">
        <w:rPr>
          <w:rFonts w:ascii="Aptos" w:eastAsiaTheme="minorHAnsi" w:hAnsi="Aptos" w:cstheme="minorHAnsi"/>
          <w:b/>
          <w:bCs/>
          <w:sz w:val="24"/>
          <w:szCs w:val="24"/>
          <w:lang w:val="en-GB"/>
        </w:rPr>
        <w:t>Who is held accountable for these procedural failings — and what financial or legal risks arise from them.</w:t>
      </w:r>
    </w:p>
    <w:p w14:paraId="3C31DC5C" w14:textId="2A953EB5" w:rsidR="009B5E99" w:rsidRDefault="009B5E99" w:rsidP="009B5E99">
      <w:pPr>
        <w:pStyle w:val="NoSpacing"/>
        <w:spacing w:line="360" w:lineRule="auto"/>
        <w:ind w:left="720"/>
        <w:rPr>
          <w:rFonts w:ascii="Aptos" w:eastAsiaTheme="minorHAnsi" w:hAnsi="Aptos" w:cstheme="minorHAnsi"/>
          <w:sz w:val="24"/>
          <w:szCs w:val="24"/>
          <w:lang w:val="en-GB"/>
        </w:rPr>
      </w:pPr>
      <w:r>
        <w:rPr>
          <w:rFonts w:ascii="Aptos" w:eastAsiaTheme="minorHAnsi" w:hAnsi="Aptos" w:cstheme="minorHAnsi"/>
          <w:sz w:val="24"/>
          <w:szCs w:val="24"/>
          <w:lang w:val="en-GB"/>
        </w:rPr>
        <w:t xml:space="preserve">The office of the Police and Crime Commissioner does not hold this information. </w:t>
      </w:r>
    </w:p>
    <w:p w14:paraId="5FDF7F99" w14:textId="77777777" w:rsidR="009B5E99" w:rsidRDefault="009B5E99" w:rsidP="009B5E99">
      <w:pPr>
        <w:pStyle w:val="NoSpacing"/>
        <w:spacing w:line="360" w:lineRule="auto"/>
        <w:ind w:firstLine="720"/>
        <w:rPr>
          <w:rFonts w:ascii="Aptos" w:eastAsiaTheme="minorHAnsi" w:hAnsi="Aptos" w:cstheme="minorHAnsi"/>
          <w:sz w:val="24"/>
          <w:szCs w:val="24"/>
          <w:lang w:val="en-GB"/>
        </w:rPr>
      </w:pPr>
    </w:p>
    <w:p w14:paraId="1C2F0A0B" w14:textId="77777777" w:rsidR="009B5E99" w:rsidRPr="00342DCF"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342DCF">
        <w:rPr>
          <w:rFonts w:ascii="Aptos" w:eastAsiaTheme="minorHAnsi" w:hAnsi="Aptos" w:cstheme="minorHAnsi"/>
          <w:b/>
          <w:bCs/>
          <w:sz w:val="24"/>
          <w:szCs w:val="24"/>
          <w:lang w:val="en-GB"/>
        </w:rPr>
        <w:t xml:space="preserve">What legal basis or public authorisation allows PSD officers from, say, Bedfordshire, to access internal complaint files lodged with Hertfordshire Police? </w:t>
      </w:r>
    </w:p>
    <w:p w14:paraId="53A10C54" w14:textId="77777777" w:rsidR="009B5E99" w:rsidRPr="00342DCF"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342DCF">
        <w:rPr>
          <w:rFonts w:ascii="Aptos" w:eastAsiaTheme="minorHAnsi" w:hAnsi="Aptos" w:cstheme="minorHAnsi"/>
          <w:b/>
          <w:bCs/>
          <w:sz w:val="24"/>
          <w:szCs w:val="24"/>
          <w:lang w:val="en-GB"/>
        </w:rPr>
        <w:t>Are these actions governed by formal Memoranda of Understanding, and if so, why are they not publicly available?</w:t>
      </w:r>
    </w:p>
    <w:p w14:paraId="6462E587" w14:textId="77777777" w:rsidR="009B5E99" w:rsidRPr="00342DCF"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342DCF">
        <w:rPr>
          <w:rFonts w:ascii="Aptos" w:eastAsiaTheme="minorHAnsi" w:hAnsi="Aptos" w:cstheme="minorHAnsi"/>
          <w:b/>
          <w:bCs/>
          <w:sz w:val="24"/>
          <w:szCs w:val="24"/>
          <w:lang w:val="en-GB"/>
        </w:rPr>
        <w:t xml:space="preserve">What controls exist to prevent collusion, manipulation, or retaliation across forces? </w:t>
      </w:r>
    </w:p>
    <w:p w14:paraId="410C6547" w14:textId="77777777" w:rsidR="009B5E99"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342DCF">
        <w:rPr>
          <w:rFonts w:ascii="Aptos" w:eastAsiaTheme="minorHAnsi" w:hAnsi="Aptos" w:cstheme="minorHAnsi"/>
          <w:b/>
          <w:bCs/>
          <w:sz w:val="24"/>
          <w:szCs w:val="24"/>
          <w:lang w:val="en-GB"/>
        </w:rPr>
        <w:t xml:space="preserve">Has your office conducted any Data Protection Impact Assessments or oversight reviews to monitor this practice? </w:t>
      </w:r>
    </w:p>
    <w:p w14:paraId="02EC9583" w14:textId="77777777" w:rsidR="009B5E99" w:rsidRPr="00342DCF" w:rsidRDefault="009B5E99" w:rsidP="009B5E99">
      <w:pPr>
        <w:pStyle w:val="NoSpacing"/>
        <w:spacing w:line="360" w:lineRule="auto"/>
        <w:ind w:firstLine="720"/>
        <w:rPr>
          <w:rFonts w:ascii="Aptos" w:eastAsiaTheme="minorHAnsi" w:hAnsi="Aptos" w:cstheme="minorHAnsi"/>
          <w:sz w:val="24"/>
          <w:szCs w:val="24"/>
          <w:lang w:val="en-GB"/>
        </w:rPr>
      </w:pPr>
      <w:r>
        <w:rPr>
          <w:rFonts w:ascii="Aptos" w:eastAsiaTheme="minorHAnsi" w:hAnsi="Aptos" w:cstheme="minorHAnsi"/>
          <w:sz w:val="24"/>
          <w:szCs w:val="24"/>
          <w:lang w:val="en-GB"/>
        </w:rPr>
        <w:t xml:space="preserve">The office of the Police and Crime Commissioner does not hold this information. </w:t>
      </w:r>
    </w:p>
    <w:p w14:paraId="49306DF9" w14:textId="77777777" w:rsidR="009B5E99" w:rsidRDefault="009B5E99" w:rsidP="009B5E99">
      <w:pPr>
        <w:pStyle w:val="NoSpacing"/>
        <w:spacing w:line="360" w:lineRule="auto"/>
        <w:rPr>
          <w:rFonts w:ascii="Aptos" w:eastAsiaTheme="minorHAnsi" w:hAnsi="Aptos" w:cstheme="minorHAnsi"/>
          <w:sz w:val="24"/>
          <w:szCs w:val="24"/>
          <w:lang w:val="en-GB"/>
        </w:rPr>
      </w:pPr>
    </w:p>
    <w:p w14:paraId="61F7C9D1" w14:textId="77777777" w:rsidR="009B5E99"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342DCF">
        <w:rPr>
          <w:rFonts w:ascii="Aptos" w:eastAsiaTheme="minorHAnsi" w:hAnsi="Aptos" w:cstheme="minorHAnsi"/>
          <w:b/>
          <w:bCs/>
          <w:sz w:val="24"/>
          <w:szCs w:val="24"/>
          <w:lang w:val="en-GB"/>
        </w:rPr>
        <w:lastRenderedPageBreak/>
        <w:t xml:space="preserve">What is your policy on BWV data logging, redaction, and access time-lines? </w:t>
      </w:r>
    </w:p>
    <w:p w14:paraId="7A063808" w14:textId="77777777" w:rsidR="009B5E99" w:rsidRDefault="009B5E99" w:rsidP="009B5E99">
      <w:pPr>
        <w:pStyle w:val="NoSpacing"/>
        <w:spacing w:line="360" w:lineRule="auto"/>
        <w:ind w:left="720"/>
        <w:rPr>
          <w:rFonts w:ascii="Aptos" w:eastAsiaTheme="minorHAnsi" w:hAnsi="Aptos" w:cstheme="minorHAnsi"/>
          <w:sz w:val="24"/>
          <w:szCs w:val="24"/>
          <w:lang w:val="en-GB"/>
        </w:rPr>
      </w:pPr>
      <w:r>
        <w:rPr>
          <w:rFonts w:ascii="Aptos" w:eastAsiaTheme="minorHAnsi" w:hAnsi="Aptos" w:cstheme="minorHAnsi"/>
          <w:sz w:val="24"/>
          <w:szCs w:val="24"/>
          <w:lang w:val="en-GB"/>
        </w:rPr>
        <w:t xml:space="preserve">The Complaint Resolution Team in the Police and Crime Commissioner’s office checks complaints to see if there is any BWV relevant to assist with the handling/resolution of a complaint. If there is no BWV available the team marks the complaints database accordingly, if there is BWV available the team mark it as ‘secured’. </w:t>
      </w:r>
    </w:p>
    <w:p w14:paraId="5BA07454" w14:textId="77777777" w:rsidR="009B5E99" w:rsidRDefault="009B5E99" w:rsidP="009B5E99">
      <w:pPr>
        <w:pStyle w:val="NoSpacing"/>
        <w:spacing w:line="360" w:lineRule="auto"/>
        <w:ind w:left="720"/>
        <w:rPr>
          <w:rFonts w:ascii="Aptos" w:eastAsiaTheme="minorHAnsi" w:hAnsi="Aptos" w:cstheme="minorHAnsi"/>
          <w:sz w:val="24"/>
          <w:szCs w:val="24"/>
          <w:lang w:val="en-GB"/>
        </w:rPr>
      </w:pPr>
    </w:p>
    <w:p w14:paraId="359BAA3C" w14:textId="77777777" w:rsidR="009B5E99" w:rsidRDefault="009B5E99" w:rsidP="009B5E99">
      <w:pPr>
        <w:pStyle w:val="NoSpacing"/>
        <w:spacing w:line="360" w:lineRule="auto"/>
        <w:ind w:left="720"/>
        <w:rPr>
          <w:rFonts w:ascii="Aptos" w:eastAsiaTheme="minorHAnsi" w:hAnsi="Aptos" w:cstheme="minorHAnsi"/>
          <w:sz w:val="24"/>
          <w:szCs w:val="24"/>
          <w:lang w:val="en-GB"/>
        </w:rPr>
      </w:pPr>
      <w:r>
        <w:rPr>
          <w:rFonts w:ascii="Aptos" w:eastAsiaTheme="minorHAnsi" w:hAnsi="Aptos" w:cstheme="minorHAnsi"/>
          <w:sz w:val="24"/>
          <w:szCs w:val="24"/>
          <w:lang w:val="en-GB"/>
        </w:rPr>
        <w:t xml:space="preserve">We check for BWV within 5 days on average of receiving the complaint. </w:t>
      </w:r>
    </w:p>
    <w:p w14:paraId="2FDE92F8" w14:textId="77777777" w:rsidR="009B5E99" w:rsidRDefault="009B5E99" w:rsidP="009B5E99">
      <w:pPr>
        <w:pStyle w:val="NoSpacing"/>
        <w:spacing w:line="360" w:lineRule="auto"/>
        <w:ind w:left="720"/>
        <w:rPr>
          <w:rFonts w:ascii="Aptos" w:eastAsiaTheme="minorHAnsi" w:hAnsi="Aptos" w:cstheme="minorHAnsi"/>
          <w:sz w:val="24"/>
          <w:szCs w:val="24"/>
          <w:lang w:val="en-GB"/>
        </w:rPr>
      </w:pPr>
    </w:p>
    <w:p w14:paraId="08B8FF66" w14:textId="77777777" w:rsidR="009B5E99" w:rsidRDefault="009B5E99" w:rsidP="009B5E99">
      <w:pPr>
        <w:pStyle w:val="NoSpacing"/>
        <w:spacing w:line="360" w:lineRule="auto"/>
        <w:ind w:left="720"/>
        <w:rPr>
          <w:rFonts w:ascii="Aptos" w:eastAsiaTheme="minorHAnsi" w:hAnsi="Aptos" w:cstheme="minorHAnsi"/>
          <w:sz w:val="24"/>
          <w:szCs w:val="24"/>
          <w:lang w:val="en-GB"/>
        </w:rPr>
      </w:pPr>
      <w:r>
        <w:rPr>
          <w:rFonts w:ascii="Aptos" w:eastAsiaTheme="minorHAnsi" w:hAnsi="Aptos" w:cstheme="minorHAnsi"/>
          <w:sz w:val="24"/>
          <w:szCs w:val="24"/>
          <w:lang w:val="en-GB"/>
        </w:rPr>
        <w:t xml:space="preserve">We do not redact any BWV.  BWV is owned by the police and therefore any redaction would be requested and carried out by them. Within the Complaint Resolution Team BWV is only accessed, viewed and marked as saved in the event of it being required for further work.  </w:t>
      </w:r>
    </w:p>
    <w:p w14:paraId="3C2AB496" w14:textId="77777777" w:rsidR="009B5E99" w:rsidRDefault="009B5E99" w:rsidP="009B5E99">
      <w:pPr>
        <w:pStyle w:val="NoSpacing"/>
        <w:spacing w:line="360" w:lineRule="auto"/>
        <w:ind w:left="720"/>
        <w:rPr>
          <w:rFonts w:ascii="Aptos" w:eastAsiaTheme="minorHAnsi" w:hAnsi="Aptos" w:cstheme="minorHAnsi"/>
          <w:sz w:val="24"/>
          <w:szCs w:val="24"/>
          <w:lang w:val="en-GB"/>
        </w:rPr>
      </w:pPr>
    </w:p>
    <w:p w14:paraId="4D5EB1BD" w14:textId="77777777" w:rsidR="009B5E99" w:rsidRPr="00703ED4" w:rsidRDefault="009B5E99" w:rsidP="009B5E99">
      <w:pPr>
        <w:pStyle w:val="NoSpacing"/>
        <w:spacing w:line="360" w:lineRule="auto"/>
        <w:ind w:left="720"/>
        <w:rPr>
          <w:rFonts w:ascii="Aptos" w:eastAsiaTheme="minorHAnsi" w:hAnsi="Aptos" w:cstheme="minorHAnsi"/>
          <w:sz w:val="24"/>
          <w:szCs w:val="24"/>
          <w:lang w:val="en-GB"/>
        </w:rPr>
      </w:pPr>
      <w:r>
        <w:rPr>
          <w:rFonts w:ascii="Aptos" w:eastAsiaTheme="minorHAnsi" w:hAnsi="Aptos" w:cstheme="minorHAnsi"/>
          <w:sz w:val="24"/>
          <w:szCs w:val="24"/>
          <w:lang w:val="en-GB"/>
        </w:rPr>
        <w:t xml:space="preserve">BWV is saved in line with the management of police information guidelines. </w:t>
      </w:r>
    </w:p>
    <w:p w14:paraId="4B80A23C" w14:textId="5FA22C3F" w:rsidR="009B5E99" w:rsidRPr="009B5E99" w:rsidRDefault="009B5E99" w:rsidP="009B5E99">
      <w:pPr>
        <w:rPr>
          <w:rFonts w:ascii="Aptos" w:hAnsi="Aptos" w:cstheme="minorHAnsi"/>
          <w:b/>
          <w:bCs/>
          <w:sz w:val="24"/>
          <w:szCs w:val="24"/>
          <w:u w:val="single" w:color="000000"/>
        </w:rPr>
      </w:pPr>
    </w:p>
    <w:p w14:paraId="20DCAB6B" w14:textId="77777777" w:rsidR="009B5E99"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342DCF">
        <w:rPr>
          <w:rFonts w:ascii="Aptos" w:eastAsiaTheme="minorHAnsi" w:hAnsi="Aptos" w:cstheme="minorHAnsi"/>
          <w:b/>
          <w:bCs/>
          <w:sz w:val="24"/>
          <w:szCs w:val="24"/>
          <w:lang w:val="en-GB"/>
        </w:rPr>
        <w:t>How man</w:t>
      </w:r>
      <w:r>
        <w:rPr>
          <w:rFonts w:ascii="Aptos" w:eastAsiaTheme="minorHAnsi" w:hAnsi="Aptos" w:cstheme="minorHAnsi"/>
          <w:b/>
          <w:bCs/>
          <w:sz w:val="24"/>
          <w:szCs w:val="24"/>
          <w:lang w:val="en-GB"/>
        </w:rPr>
        <w:t>y</w:t>
      </w:r>
      <w:r w:rsidRPr="00342DCF">
        <w:rPr>
          <w:rFonts w:ascii="Aptos" w:eastAsiaTheme="minorHAnsi" w:hAnsi="Aptos" w:cstheme="minorHAnsi"/>
          <w:b/>
          <w:bCs/>
          <w:sz w:val="24"/>
          <w:szCs w:val="24"/>
          <w:lang w:val="en-GB"/>
        </w:rPr>
        <w:t xml:space="preserve"> complaints in the last three years involved BWV evidence that was incomplete, lost, or unavailable? </w:t>
      </w:r>
    </w:p>
    <w:p w14:paraId="4CA8F69F" w14:textId="68F69DBF" w:rsidR="009B5E99" w:rsidRPr="007E7437" w:rsidRDefault="009B5E99" w:rsidP="009B5E99">
      <w:pPr>
        <w:pStyle w:val="NoSpacing"/>
        <w:spacing w:line="360" w:lineRule="auto"/>
        <w:ind w:left="720"/>
        <w:rPr>
          <w:rFonts w:ascii="Aptos" w:eastAsiaTheme="minorHAnsi" w:hAnsi="Aptos" w:cstheme="minorHAnsi"/>
          <w:sz w:val="24"/>
          <w:szCs w:val="24"/>
          <w:lang w:val="en-GB"/>
        </w:rPr>
      </w:pPr>
      <w:r>
        <w:rPr>
          <w:rFonts w:ascii="Aptos" w:eastAsiaTheme="minorHAnsi" w:hAnsi="Aptos" w:cstheme="minorHAnsi"/>
          <w:sz w:val="24"/>
          <w:szCs w:val="24"/>
          <w:lang w:val="en-GB"/>
        </w:rPr>
        <w:t xml:space="preserve">The </w:t>
      </w:r>
      <w:r>
        <w:rPr>
          <w:rFonts w:ascii="Aptos" w:eastAsiaTheme="minorHAnsi" w:hAnsi="Aptos" w:cstheme="minorHAnsi"/>
          <w:sz w:val="24"/>
          <w:szCs w:val="24"/>
          <w:lang w:val="en-GB"/>
        </w:rPr>
        <w:t>o</w:t>
      </w:r>
      <w:r>
        <w:rPr>
          <w:rFonts w:ascii="Aptos" w:eastAsiaTheme="minorHAnsi" w:hAnsi="Aptos" w:cstheme="minorHAnsi"/>
          <w:sz w:val="24"/>
          <w:szCs w:val="24"/>
          <w:lang w:val="en-GB"/>
        </w:rPr>
        <w:t xml:space="preserve">ffice of the Police and Crime Commissioner does not hold this information.  </w:t>
      </w:r>
    </w:p>
    <w:p w14:paraId="090A07EF" w14:textId="77777777" w:rsidR="009B5E99" w:rsidRPr="00342DCF" w:rsidRDefault="009B5E99" w:rsidP="009B5E99">
      <w:pPr>
        <w:pStyle w:val="ListParagraph"/>
        <w:rPr>
          <w:rFonts w:ascii="Aptos" w:hAnsi="Aptos" w:cstheme="minorHAnsi"/>
          <w:b/>
          <w:bCs/>
          <w:sz w:val="24"/>
          <w:szCs w:val="24"/>
        </w:rPr>
      </w:pPr>
    </w:p>
    <w:p w14:paraId="60DF0AF4" w14:textId="77777777" w:rsidR="009B5E99" w:rsidRPr="00D13530"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342DCF">
        <w:rPr>
          <w:rFonts w:ascii="Aptos" w:eastAsiaTheme="minorHAnsi" w:hAnsi="Aptos" w:cstheme="minorHAnsi"/>
          <w:b/>
          <w:bCs/>
          <w:sz w:val="24"/>
          <w:szCs w:val="24"/>
          <w:lang w:val="en-GB"/>
        </w:rPr>
        <w:t xml:space="preserve">Who within your office is accountable for ensuring the integrity of BWV material during complaint review processes? </w:t>
      </w:r>
    </w:p>
    <w:p w14:paraId="67B41625" w14:textId="77777777" w:rsidR="009B5E99" w:rsidRPr="00342DCF" w:rsidRDefault="009B5E99" w:rsidP="009B5E99">
      <w:pPr>
        <w:pStyle w:val="NoSpacing"/>
        <w:spacing w:line="360" w:lineRule="auto"/>
        <w:ind w:left="720"/>
        <w:rPr>
          <w:rFonts w:ascii="Aptos" w:eastAsiaTheme="minorHAnsi" w:hAnsi="Aptos" w:cstheme="minorHAnsi"/>
          <w:b/>
          <w:bCs/>
          <w:sz w:val="24"/>
          <w:szCs w:val="24"/>
          <w:lang w:val="en-GB"/>
        </w:rPr>
      </w:pPr>
      <w:r>
        <w:rPr>
          <w:rFonts w:ascii="Aptos" w:eastAsiaTheme="minorHAnsi" w:hAnsi="Aptos" w:cstheme="minorHAnsi"/>
          <w:sz w:val="24"/>
          <w:szCs w:val="24"/>
          <w:lang w:val="en-GB"/>
        </w:rPr>
        <w:t xml:space="preserve">The office of the Police and Crime Commissioner does not hold this information. </w:t>
      </w:r>
    </w:p>
    <w:p w14:paraId="02C26BAD" w14:textId="77777777" w:rsidR="009B5E99" w:rsidRDefault="009B5E99" w:rsidP="009B5E99">
      <w:pPr>
        <w:pStyle w:val="ListParagraph"/>
        <w:rPr>
          <w:rFonts w:ascii="Aptos" w:hAnsi="Aptos" w:cstheme="minorHAnsi"/>
          <w:sz w:val="24"/>
          <w:szCs w:val="24"/>
        </w:rPr>
      </w:pPr>
    </w:p>
    <w:p w14:paraId="77A98457" w14:textId="77777777" w:rsidR="009B5E99"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342DCF">
        <w:rPr>
          <w:rFonts w:ascii="Aptos" w:eastAsiaTheme="minorHAnsi" w:hAnsi="Aptos" w:cstheme="minorHAnsi"/>
          <w:b/>
          <w:bCs/>
          <w:sz w:val="24"/>
          <w:szCs w:val="24"/>
          <w:lang w:val="en-GB"/>
        </w:rPr>
        <w:t xml:space="preserve">Who is the legal data controller when sensitive data is shared across Hertfordshire, Bedfordshire and Cambridgeshire? </w:t>
      </w:r>
    </w:p>
    <w:p w14:paraId="3D46FC2A" w14:textId="77777777" w:rsidR="009B5E99" w:rsidRPr="00BF6708" w:rsidRDefault="009B5E99" w:rsidP="009B5E99">
      <w:pPr>
        <w:pStyle w:val="NoSpacing"/>
        <w:spacing w:line="360" w:lineRule="auto"/>
        <w:ind w:firstLine="720"/>
        <w:rPr>
          <w:rFonts w:ascii="Aptos" w:eastAsiaTheme="minorHAnsi" w:hAnsi="Aptos" w:cstheme="minorHAnsi"/>
          <w:sz w:val="24"/>
          <w:szCs w:val="24"/>
          <w:lang w:val="en-GB"/>
        </w:rPr>
      </w:pPr>
      <w:r>
        <w:rPr>
          <w:rFonts w:ascii="Aptos" w:eastAsiaTheme="minorHAnsi" w:hAnsi="Aptos" w:cstheme="minorHAnsi"/>
          <w:sz w:val="24"/>
          <w:szCs w:val="24"/>
          <w:lang w:val="en-GB"/>
        </w:rPr>
        <w:t>The office of the Police and Crime Commissioner does not hold this information.</w:t>
      </w:r>
    </w:p>
    <w:p w14:paraId="674499B8" w14:textId="77777777" w:rsidR="009B5E99" w:rsidRPr="00342DCF" w:rsidRDefault="009B5E99" w:rsidP="009B5E99">
      <w:pPr>
        <w:pStyle w:val="ListParagraph"/>
        <w:rPr>
          <w:rFonts w:ascii="Aptos" w:hAnsi="Aptos" w:cstheme="minorHAnsi"/>
          <w:b/>
          <w:bCs/>
          <w:sz w:val="24"/>
          <w:szCs w:val="24"/>
        </w:rPr>
      </w:pPr>
    </w:p>
    <w:p w14:paraId="4DCA061A" w14:textId="77777777" w:rsidR="009B5E99"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342DCF">
        <w:rPr>
          <w:rFonts w:ascii="Aptos" w:eastAsiaTheme="minorHAnsi" w:hAnsi="Aptos" w:cstheme="minorHAnsi"/>
          <w:b/>
          <w:bCs/>
          <w:sz w:val="24"/>
          <w:szCs w:val="24"/>
          <w:lang w:val="en-GB"/>
        </w:rPr>
        <w:t xml:space="preserve">Where are the Data Sharing Agreements and DPIAs that govern this activity? </w:t>
      </w:r>
    </w:p>
    <w:p w14:paraId="5A59009D" w14:textId="77777777" w:rsidR="009B5E99" w:rsidRPr="00BF6708" w:rsidRDefault="009B5E99" w:rsidP="009B5E99">
      <w:pPr>
        <w:pStyle w:val="NoSpacing"/>
        <w:spacing w:line="360" w:lineRule="auto"/>
        <w:ind w:firstLine="720"/>
        <w:rPr>
          <w:rFonts w:ascii="Aptos" w:eastAsiaTheme="minorHAnsi" w:hAnsi="Aptos" w:cstheme="minorHAnsi"/>
          <w:sz w:val="24"/>
          <w:szCs w:val="24"/>
          <w:lang w:val="en-GB"/>
        </w:rPr>
      </w:pPr>
      <w:r>
        <w:rPr>
          <w:rFonts w:ascii="Aptos" w:eastAsiaTheme="minorHAnsi" w:hAnsi="Aptos" w:cstheme="minorHAnsi"/>
          <w:sz w:val="24"/>
          <w:szCs w:val="24"/>
          <w:lang w:val="en-GB"/>
        </w:rPr>
        <w:t>The office of the Police and Crime Commissioner does not hold this information.</w:t>
      </w:r>
    </w:p>
    <w:p w14:paraId="237979D4" w14:textId="77777777" w:rsidR="009B5E99" w:rsidRDefault="009B5E99" w:rsidP="009B5E99">
      <w:pPr>
        <w:pStyle w:val="ListParagraph"/>
        <w:rPr>
          <w:rFonts w:ascii="Aptos" w:hAnsi="Aptos" w:cstheme="minorHAnsi"/>
          <w:b/>
          <w:bCs/>
          <w:sz w:val="24"/>
          <w:szCs w:val="24"/>
        </w:rPr>
      </w:pPr>
    </w:p>
    <w:p w14:paraId="409DF19F" w14:textId="77777777" w:rsidR="009B5E99" w:rsidRDefault="009B5E99" w:rsidP="009B5E99">
      <w:pPr>
        <w:pStyle w:val="ListParagraph"/>
        <w:rPr>
          <w:rFonts w:ascii="Aptos" w:hAnsi="Aptos" w:cstheme="minorHAnsi"/>
          <w:b/>
          <w:bCs/>
          <w:sz w:val="24"/>
          <w:szCs w:val="24"/>
        </w:rPr>
      </w:pPr>
    </w:p>
    <w:p w14:paraId="0DA4082D" w14:textId="77777777" w:rsidR="009B5E99" w:rsidRPr="00342DCF" w:rsidRDefault="009B5E99" w:rsidP="009B5E99">
      <w:pPr>
        <w:pStyle w:val="ListParagraph"/>
        <w:rPr>
          <w:rFonts w:ascii="Aptos" w:hAnsi="Aptos" w:cstheme="minorHAnsi"/>
          <w:b/>
          <w:bCs/>
          <w:sz w:val="24"/>
          <w:szCs w:val="24"/>
        </w:rPr>
      </w:pPr>
    </w:p>
    <w:p w14:paraId="064377FC" w14:textId="77777777" w:rsidR="009B5E99"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342DCF">
        <w:rPr>
          <w:rFonts w:ascii="Aptos" w:eastAsiaTheme="minorHAnsi" w:hAnsi="Aptos" w:cstheme="minorHAnsi"/>
          <w:b/>
          <w:bCs/>
          <w:sz w:val="24"/>
          <w:szCs w:val="24"/>
          <w:lang w:val="en-GB"/>
        </w:rPr>
        <w:lastRenderedPageBreak/>
        <w:t xml:space="preserve">Are PCCs jointly liable for data breaches involving shared platforms such as Athena? </w:t>
      </w:r>
    </w:p>
    <w:p w14:paraId="655EBA56" w14:textId="77777777" w:rsidR="009B5E99" w:rsidRPr="00BF6708" w:rsidRDefault="009B5E99" w:rsidP="009B5E99">
      <w:pPr>
        <w:pStyle w:val="NoSpacing"/>
        <w:spacing w:line="360" w:lineRule="auto"/>
        <w:ind w:firstLine="720"/>
        <w:rPr>
          <w:rFonts w:ascii="Aptos" w:eastAsiaTheme="minorHAnsi" w:hAnsi="Aptos" w:cstheme="minorHAnsi"/>
          <w:sz w:val="24"/>
          <w:szCs w:val="24"/>
          <w:lang w:val="en-GB"/>
        </w:rPr>
      </w:pPr>
      <w:r>
        <w:rPr>
          <w:rFonts w:ascii="Aptos" w:eastAsiaTheme="minorHAnsi" w:hAnsi="Aptos" w:cstheme="minorHAnsi"/>
          <w:sz w:val="24"/>
          <w:szCs w:val="24"/>
          <w:lang w:val="en-GB"/>
        </w:rPr>
        <w:t xml:space="preserve">The office of the Police and Crime Commissioner does not hold this information. </w:t>
      </w:r>
    </w:p>
    <w:p w14:paraId="7E1F737E" w14:textId="77777777" w:rsidR="009B5E99" w:rsidRPr="00342DCF" w:rsidRDefault="009B5E99" w:rsidP="009B5E99">
      <w:pPr>
        <w:pStyle w:val="ListParagraph"/>
        <w:rPr>
          <w:rFonts w:ascii="Aptos" w:hAnsi="Aptos" w:cstheme="minorHAnsi"/>
          <w:b/>
          <w:bCs/>
          <w:sz w:val="24"/>
          <w:szCs w:val="24"/>
        </w:rPr>
      </w:pPr>
    </w:p>
    <w:p w14:paraId="179EAB73" w14:textId="77777777" w:rsidR="009B5E99"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342DCF">
        <w:rPr>
          <w:rFonts w:ascii="Aptos" w:eastAsiaTheme="minorHAnsi" w:hAnsi="Aptos" w:cstheme="minorHAnsi"/>
          <w:b/>
          <w:bCs/>
          <w:sz w:val="24"/>
          <w:szCs w:val="24"/>
          <w:lang w:val="en-GB"/>
        </w:rPr>
        <w:t xml:space="preserve">What are the annual financial costs of these tri-force arrangements to Hertfordshire residents? </w:t>
      </w:r>
    </w:p>
    <w:p w14:paraId="3D242C3A" w14:textId="77777777" w:rsidR="009B5E99" w:rsidRPr="00D13530" w:rsidRDefault="009B5E99" w:rsidP="009B5E99">
      <w:pPr>
        <w:pStyle w:val="ListParagraph"/>
        <w:spacing w:line="360" w:lineRule="auto"/>
        <w:rPr>
          <w:rFonts w:ascii="Aptos" w:hAnsi="Aptos" w:cstheme="minorHAnsi"/>
          <w:sz w:val="24"/>
          <w:szCs w:val="24"/>
        </w:rPr>
      </w:pPr>
      <w:r>
        <w:rPr>
          <w:rFonts w:ascii="Aptos" w:hAnsi="Aptos" w:cstheme="minorHAnsi"/>
          <w:sz w:val="24"/>
          <w:szCs w:val="24"/>
        </w:rPr>
        <w:t xml:space="preserve">Information regarding the costs of the Office of the Police and Crime Commissioner can be found at the Police and Crime Commissioner’s website at the following link: </w:t>
      </w:r>
      <w:hyperlink r:id="rId7" w:history="1">
        <w:r w:rsidRPr="0070054F">
          <w:rPr>
            <w:rStyle w:val="Hyperlink"/>
            <w:rFonts w:ascii="Aptos" w:hAnsi="Aptos" w:cstheme="minorHAnsi"/>
            <w:sz w:val="24"/>
            <w:szCs w:val="24"/>
          </w:rPr>
          <w:t>Finances</w:t>
        </w:r>
      </w:hyperlink>
      <w:r w:rsidRPr="0070054F">
        <w:rPr>
          <w:rFonts w:ascii="Aptos" w:hAnsi="Aptos" w:cstheme="minorHAnsi"/>
          <w:sz w:val="24"/>
          <w:szCs w:val="24"/>
        </w:rPr>
        <w:t xml:space="preserve">. </w:t>
      </w:r>
      <w:r>
        <w:rPr>
          <w:rFonts w:ascii="Aptos" w:hAnsi="Aptos" w:cstheme="minorHAnsi"/>
          <w:sz w:val="24"/>
          <w:szCs w:val="24"/>
        </w:rPr>
        <w:t xml:space="preserve">This information is therefore exempt under Section 21 of the Freedom of Information Act 2000 which states that information does not need to be provided where it is already reasonably accessible to the applicant from another source. </w:t>
      </w:r>
    </w:p>
    <w:p w14:paraId="2FC1718E" w14:textId="77777777" w:rsidR="009B5E99" w:rsidRDefault="009B5E99" w:rsidP="009B5E99">
      <w:pPr>
        <w:pStyle w:val="ListParagraph"/>
        <w:rPr>
          <w:rFonts w:ascii="Aptos" w:hAnsi="Aptos" w:cstheme="minorHAnsi"/>
          <w:sz w:val="24"/>
          <w:szCs w:val="24"/>
        </w:rPr>
      </w:pPr>
    </w:p>
    <w:p w14:paraId="2B2E2F2D" w14:textId="77777777" w:rsidR="009B5E99" w:rsidRPr="00BF6708"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BF6708">
        <w:rPr>
          <w:rFonts w:ascii="Aptos" w:eastAsiaTheme="minorHAnsi" w:hAnsi="Aptos" w:cstheme="minorHAnsi"/>
          <w:b/>
          <w:bCs/>
          <w:sz w:val="24"/>
          <w:szCs w:val="24"/>
          <w:lang w:val="en-GB"/>
        </w:rPr>
        <w:t>Please provide the job titles, salary ranges and benefits of each force’s Data Protection Officer (DPO);</w:t>
      </w:r>
    </w:p>
    <w:p w14:paraId="25D49BFA" w14:textId="77777777" w:rsidR="009B5E99" w:rsidRPr="00BF6708" w:rsidRDefault="009B5E99" w:rsidP="009B5E99">
      <w:pPr>
        <w:pStyle w:val="ListParagraph"/>
        <w:rPr>
          <w:rFonts w:ascii="Aptos" w:hAnsi="Aptos" w:cstheme="minorHAnsi"/>
          <w:b/>
          <w:bCs/>
          <w:sz w:val="24"/>
          <w:szCs w:val="24"/>
        </w:rPr>
      </w:pPr>
    </w:p>
    <w:p w14:paraId="68709C5C" w14:textId="77777777" w:rsidR="009B5E99" w:rsidRPr="00BF6708"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BF6708">
        <w:rPr>
          <w:rFonts w:ascii="Aptos" w:eastAsiaTheme="minorHAnsi" w:hAnsi="Aptos" w:cstheme="minorHAnsi"/>
          <w:b/>
          <w:bCs/>
          <w:sz w:val="24"/>
          <w:szCs w:val="24"/>
          <w:lang w:val="en-GB"/>
        </w:rPr>
        <w:t>The total annual cost to your office for maintaining or accessing tri-force digital infrastructure.</w:t>
      </w:r>
    </w:p>
    <w:p w14:paraId="432B6DC2" w14:textId="77777777" w:rsidR="009B5E99" w:rsidRPr="00BF6708" w:rsidRDefault="009B5E99" w:rsidP="009B5E99">
      <w:pPr>
        <w:pStyle w:val="ListParagraph"/>
        <w:rPr>
          <w:rFonts w:ascii="Aptos" w:hAnsi="Aptos" w:cstheme="minorHAnsi"/>
          <w:b/>
          <w:bCs/>
          <w:sz w:val="24"/>
          <w:szCs w:val="24"/>
        </w:rPr>
      </w:pPr>
    </w:p>
    <w:p w14:paraId="741E7A60" w14:textId="77777777" w:rsidR="009B5E99"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BF6708">
        <w:rPr>
          <w:rFonts w:ascii="Aptos" w:eastAsiaTheme="minorHAnsi" w:hAnsi="Aptos" w:cstheme="minorHAnsi"/>
          <w:b/>
          <w:bCs/>
          <w:sz w:val="24"/>
          <w:szCs w:val="24"/>
          <w:lang w:val="en-GB"/>
        </w:rPr>
        <w:t xml:space="preserve">A summary of any settlements, compensation, or legal payouts made in relation to data breaches, complaint mismanagement, or BWV disputes since 2020. </w:t>
      </w:r>
    </w:p>
    <w:p w14:paraId="327EA270" w14:textId="77777777" w:rsidR="009B5E99" w:rsidRPr="00BF6708" w:rsidRDefault="009B5E99" w:rsidP="009B5E99">
      <w:pPr>
        <w:pStyle w:val="ListParagraph"/>
        <w:spacing w:line="360" w:lineRule="auto"/>
        <w:ind w:left="0" w:firstLine="720"/>
        <w:rPr>
          <w:rFonts w:ascii="Aptos" w:hAnsi="Aptos" w:cstheme="minorHAnsi"/>
          <w:sz w:val="24"/>
          <w:szCs w:val="24"/>
        </w:rPr>
      </w:pPr>
      <w:r>
        <w:rPr>
          <w:rFonts w:ascii="Aptos" w:hAnsi="Aptos" w:cstheme="minorHAnsi"/>
          <w:sz w:val="24"/>
          <w:szCs w:val="24"/>
        </w:rPr>
        <w:t xml:space="preserve">The office of the Police and Crime Commissioner does not hold this information. </w:t>
      </w:r>
    </w:p>
    <w:p w14:paraId="3F2A6094" w14:textId="77777777" w:rsidR="009B5E99" w:rsidRDefault="009B5E99" w:rsidP="009B5E99">
      <w:pPr>
        <w:pStyle w:val="ListParagraph"/>
        <w:spacing w:line="360" w:lineRule="auto"/>
        <w:ind w:left="148" w:hanging="335"/>
        <w:rPr>
          <w:rFonts w:ascii="Aptos" w:hAnsi="Aptos" w:cstheme="minorHAnsi"/>
          <w:sz w:val="24"/>
          <w:szCs w:val="24"/>
        </w:rPr>
      </w:pPr>
    </w:p>
    <w:p w14:paraId="57C7E8F4" w14:textId="77777777" w:rsidR="009B5E99"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BF6708">
        <w:rPr>
          <w:rFonts w:ascii="Aptos" w:eastAsiaTheme="minorHAnsi" w:hAnsi="Aptos" w:cstheme="minorHAnsi"/>
          <w:b/>
          <w:bCs/>
          <w:sz w:val="24"/>
          <w:szCs w:val="24"/>
          <w:lang w:val="en-GB"/>
        </w:rPr>
        <w:t xml:space="preserve">Do you hold statutory oversight over PSD Investigations or data practices involving Hertfordshire officers, even when led by other forces? </w:t>
      </w:r>
    </w:p>
    <w:p w14:paraId="2B40B4A7" w14:textId="77777777" w:rsidR="009B5E99" w:rsidRPr="00BF6708" w:rsidRDefault="009B5E99" w:rsidP="009B5E99">
      <w:pPr>
        <w:pStyle w:val="NoSpacing"/>
        <w:spacing w:line="360" w:lineRule="auto"/>
        <w:ind w:left="720"/>
        <w:rPr>
          <w:rFonts w:ascii="Aptos" w:eastAsiaTheme="minorHAnsi" w:hAnsi="Aptos" w:cstheme="minorHAnsi"/>
          <w:sz w:val="24"/>
          <w:szCs w:val="24"/>
          <w:lang w:val="en-GB"/>
        </w:rPr>
      </w:pPr>
      <w:r>
        <w:rPr>
          <w:rFonts w:ascii="Aptos" w:eastAsiaTheme="minorHAnsi" w:hAnsi="Aptos" w:cstheme="minorHAnsi"/>
          <w:sz w:val="24"/>
          <w:szCs w:val="24"/>
          <w:lang w:val="en-GB"/>
        </w:rPr>
        <w:t xml:space="preserve">Information regarding the statutory oversight provision can be found in the Police Reform and Social Responsibility Act 2011 Section 1(7) and (8). This information is therefore exempt under Section 21 of the Freedom of Information Act which states that information does not need to be provided where it is already reasonably accessible to the applicant from another source. </w:t>
      </w:r>
    </w:p>
    <w:p w14:paraId="6C5F469A" w14:textId="77777777" w:rsidR="009B5E99" w:rsidRPr="00BF6708" w:rsidRDefault="009B5E99" w:rsidP="009B5E99">
      <w:pPr>
        <w:pStyle w:val="ListParagraph"/>
        <w:spacing w:line="360" w:lineRule="auto"/>
        <w:ind w:left="148" w:hanging="335"/>
        <w:rPr>
          <w:rFonts w:ascii="Aptos" w:hAnsi="Aptos" w:cstheme="minorHAnsi"/>
          <w:b/>
          <w:bCs/>
          <w:sz w:val="24"/>
          <w:szCs w:val="24"/>
        </w:rPr>
      </w:pPr>
    </w:p>
    <w:p w14:paraId="1E247D48" w14:textId="77777777" w:rsidR="009B5E99"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BF6708">
        <w:rPr>
          <w:rFonts w:ascii="Aptos" w:eastAsiaTheme="minorHAnsi" w:hAnsi="Aptos" w:cstheme="minorHAnsi"/>
          <w:b/>
          <w:bCs/>
          <w:sz w:val="24"/>
          <w:szCs w:val="24"/>
          <w:lang w:val="en-GB"/>
        </w:rPr>
        <w:lastRenderedPageBreak/>
        <w:t xml:space="preserve">When misconduct complaints cross force boundaries, who represents the interests of Hertfordshire residents? </w:t>
      </w:r>
    </w:p>
    <w:p w14:paraId="78E6E608" w14:textId="77777777" w:rsidR="009B5E99" w:rsidRPr="002235A6" w:rsidRDefault="009B5E99" w:rsidP="009B5E99">
      <w:pPr>
        <w:pStyle w:val="NoSpacing"/>
        <w:spacing w:line="360" w:lineRule="auto"/>
        <w:ind w:left="720"/>
        <w:rPr>
          <w:rFonts w:ascii="Aptos" w:eastAsiaTheme="minorHAnsi" w:hAnsi="Aptos" w:cstheme="minorHAnsi"/>
          <w:sz w:val="24"/>
          <w:szCs w:val="24"/>
          <w:lang w:val="en-GB"/>
        </w:rPr>
      </w:pPr>
      <w:r>
        <w:rPr>
          <w:rFonts w:ascii="Aptos" w:eastAsiaTheme="minorHAnsi" w:hAnsi="Aptos" w:cstheme="minorHAnsi"/>
          <w:sz w:val="24"/>
          <w:szCs w:val="24"/>
          <w:lang w:val="en-GB"/>
        </w:rPr>
        <w:t xml:space="preserve">Information regarding the misconduct regime for Police complaints can be found in the Police Reform Act 2002, Part 2 and Schedule 3, therefore, this information is also exempt under Section 21 of the Freedom of Information Act. </w:t>
      </w:r>
    </w:p>
    <w:p w14:paraId="4D13A78F" w14:textId="77777777" w:rsidR="009B5E99" w:rsidRPr="00BF6708" w:rsidRDefault="009B5E99" w:rsidP="009B5E99">
      <w:pPr>
        <w:pStyle w:val="ListParagraph"/>
        <w:spacing w:line="360" w:lineRule="auto"/>
        <w:ind w:left="148" w:hanging="335"/>
        <w:rPr>
          <w:rFonts w:ascii="Aptos" w:hAnsi="Aptos" w:cstheme="minorHAnsi"/>
          <w:b/>
          <w:bCs/>
          <w:sz w:val="24"/>
          <w:szCs w:val="24"/>
        </w:rPr>
      </w:pPr>
    </w:p>
    <w:p w14:paraId="060FED19" w14:textId="77777777" w:rsidR="009B5E99"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sidRPr="00BF6708">
        <w:rPr>
          <w:rFonts w:ascii="Aptos" w:eastAsiaTheme="minorHAnsi" w:hAnsi="Aptos" w:cstheme="minorHAnsi"/>
          <w:b/>
          <w:bCs/>
          <w:sz w:val="24"/>
          <w:szCs w:val="24"/>
          <w:lang w:val="en-GB"/>
        </w:rPr>
        <w:t xml:space="preserve">Are there formal agreements that delineate the boundaries of PCC oversight in shared custody suites, joint intelligence databases, and cross-force prosecutions? </w:t>
      </w:r>
    </w:p>
    <w:p w14:paraId="2C078AE3" w14:textId="77777777" w:rsidR="009B5E99" w:rsidRPr="002235A6" w:rsidRDefault="009B5E99" w:rsidP="009B5E99">
      <w:pPr>
        <w:pStyle w:val="NoSpacing"/>
        <w:spacing w:line="360" w:lineRule="auto"/>
        <w:ind w:left="720"/>
        <w:rPr>
          <w:rFonts w:ascii="Aptos" w:eastAsiaTheme="minorHAnsi" w:hAnsi="Aptos" w:cstheme="minorHAnsi"/>
          <w:sz w:val="24"/>
          <w:szCs w:val="24"/>
          <w:lang w:val="en-GB"/>
        </w:rPr>
      </w:pPr>
      <w:r>
        <w:rPr>
          <w:rFonts w:ascii="Aptos" w:eastAsiaTheme="minorHAnsi" w:hAnsi="Aptos" w:cstheme="minorHAnsi"/>
          <w:sz w:val="24"/>
          <w:szCs w:val="24"/>
          <w:lang w:val="en-GB"/>
        </w:rPr>
        <w:t xml:space="preserve">The office of the Police and Crime Commissioner does not hold this information. </w:t>
      </w:r>
    </w:p>
    <w:p w14:paraId="3867DFC9" w14:textId="77777777" w:rsidR="009B5E99" w:rsidRDefault="009B5E99" w:rsidP="009B5E99">
      <w:pPr>
        <w:pStyle w:val="ListParagraph"/>
        <w:spacing w:line="360" w:lineRule="auto"/>
        <w:ind w:left="148" w:hanging="335"/>
        <w:rPr>
          <w:rFonts w:ascii="Aptos" w:hAnsi="Aptos" w:cstheme="minorHAnsi"/>
          <w:b/>
          <w:bCs/>
          <w:sz w:val="24"/>
          <w:szCs w:val="24"/>
        </w:rPr>
      </w:pPr>
    </w:p>
    <w:p w14:paraId="0400FA24" w14:textId="77777777" w:rsidR="009B5E99" w:rsidRDefault="009B5E99" w:rsidP="009B5E99">
      <w:pPr>
        <w:pStyle w:val="NoSpacing"/>
        <w:numPr>
          <w:ilvl w:val="0"/>
          <w:numId w:val="26"/>
        </w:numPr>
        <w:spacing w:line="360" w:lineRule="auto"/>
        <w:rPr>
          <w:rFonts w:ascii="Aptos" w:eastAsiaTheme="minorHAnsi" w:hAnsi="Aptos" w:cstheme="minorHAnsi"/>
          <w:b/>
          <w:bCs/>
          <w:sz w:val="24"/>
          <w:szCs w:val="24"/>
          <w:lang w:val="en-GB"/>
        </w:rPr>
      </w:pPr>
      <w:r>
        <w:rPr>
          <w:rFonts w:ascii="Aptos" w:eastAsiaTheme="minorHAnsi" w:hAnsi="Aptos" w:cstheme="minorHAnsi"/>
          <w:b/>
          <w:bCs/>
          <w:sz w:val="24"/>
          <w:szCs w:val="24"/>
          <w:lang w:val="en-GB"/>
        </w:rPr>
        <w:t xml:space="preserve">That all MOUs, data sharing agreements, and governance policies relevant to these issues by published for disclosed under FOI. </w:t>
      </w:r>
    </w:p>
    <w:p w14:paraId="3488DB92" w14:textId="77777777" w:rsidR="009B5E99" w:rsidRPr="00CF3A12" w:rsidRDefault="009B5E99" w:rsidP="009B5E99">
      <w:pPr>
        <w:pStyle w:val="NoSpacing"/>
        <w:spacing w:line="360" w:lineRule="auto"/>
        <w:ind w:left="720"/>
        <w:rPr>
          <w:rFonts w:ascii="Aptos" w:eastAsiaTheme="minorHAnsi" w:hAnsi="Aptos" w:cstheme="minorHAnsi"/>
          <w:sz w:val="24"/>
          <w:szCs w:val="24"/>
          <w:lang w:val="en-GB"/>
        </w:rPr>
      </w:pPr>
      <w:r>
        <w:rPr>
          <w:rFonts w:ascii="Aptos" w:eastAsiaTheme="minorHAnsi" w:hAnsi="Aptos" w:cstheme="minorHAnsi"/>
          <w:sz w:val="24"/>
          <w:szCs w:val="24"/>
          <w:lang w:val="en-GB"/>
        </w:rPr>
        <w:t xml:space="preserve">Information regarding the data sharing agreements and governance policies can be found on the Police and Crime Commissioner’s website here: </w:t>
      </w:r>
      <w:hyperlink r:id="rId8" w:history="1">
        <w:r w:rsidRPr="00F41CED">
          <w:rPr>
            <w:rStyle w:val="Hyperlink"/>
            <w:rFonts w:ascii="Aptos" w:eastAsiaTheme="minorHAnsi" w:hAnsi="Aptos" w:cstheme="minorHAnsi"/>
            <w:sz w:val="24"/>
            <w:szCs w:val="24"/>
          </w:rPr>
          <w:t>Publications and Policies</w:t>
        </w:r>
      </w:hyperlink>
      <w:r>
        <w:rPr>
          <w:rFonts w:ascii="Aptos" w:eastAsiaTheme="minorHAnsi" w:hAnsi="Aptos" w:cstheme="minorHAnsi"/>
          <w:sz w:val="24"/>
          <w:szCs w:val="24"/>
          <w:lang w:val="en-GB"/>
        </w:rPr>
        <w:t>. Therefore, this information is also exempt under Section 21 of the Freedom of Information Act which states that information does not need to be provided where it is already reasonably accessible to the applicant from another source.</w:t>
      </w:r>
    </w:p>
    <w:p w14:paraId="7146799B" w14:textId="77777777" w:rsidR="009447F4" w:rsidRDefault="009447F4" w:rsidP="00C557BC">
      <w:pPr>
        <w:pStyle w:val="NoSpacing"/>
        <w:spacing w:line="360" w:lineRule="auto"/>
        <w:rPr>
          <w:rFonts w:asciiTheme="minorHAnsi" w:eastAsiaTheme="minorHAnsi" w:hAnsiTheme="minorHAnsi" w:cstheme="minorHAnsi"/>
          <w:sz w:val="24"/>
          <w:szCs w:val="24"/>
          <w:lang w:val="en-GB"/>
        </w:rPr>
      </w:pPr>
    </w:p>
    <w:sectPr w:rsidR="009447F4" w:rsidSect="001D000E">
      <w:pgSz w:w="11910" w:h="16840"/>
      <w:pgMar w:top="1135" w:right="1460" w:bottom="851"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0065" w14:textId="77777777" w:rsidR="005D30F0" w:rsidRDefault="005D30F0" w:rsidP="005D30F0">
      <w:pPr>
        <w:spacing w:after="0" w:line="240" w:lineRule="auto"/>
      </w:pPr>
      <w:r>
        <w:separator/>
      </w:r>
    </w:p>
  </w:endnote>
  <w:endnote w:type="continuationSeparator" w:id="0">
    <w:p w14:paraId="302A4F1E" w14:textId="77777777" w:rsidR="005D30F0" w:rsidRDefault="005D30F0" w:rsidP="005D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C7A6" w14:textId="77777777" w:rsidR="005D30F0" w:rsidRDefault="005D30F0" w:rsidP="005D30F0">
      <w:pPr>
        <w:spacing w:after="0" w:line="240" w:lineRule="auto"/>
      </w:pPr>
      <w:r>
        <w:separator/>
      </w:r>
    </w:p>
  </w:footnote>
  <w:footnote w:type="continuationSeparator" w:id="0">
    <w:p w14:paraId="711FC9B7" w14:textId="77777777" w:rsidR="005D30F0" w:rsidRDefault="005D30F0" w:rsidP="005D3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A30"/>
    <w:multiLevelType w:val="hybridMultilevel"/>
    <w:tmpl w:val="0C6CC7EA"/>
    <w:lvl w:ilvl="0" w:tplc="884402F0">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109EE"/>
    <w:multiLevelType w:val="hybridMultilevel"/>
    <w:tmpl w:val="9DC4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B565D"/>
    <w:multiLevelType w:val="hybridMultilevel"/>
    <w:tmpl w:val="F8D84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B70CFE"/>
    <w:multiLevelType w:val="hybridMultilevel"/>
    <w:tmpl w:val="CF384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726B2"/>
    <w:multiLevelType w:val="multilevel"/>
    <w:tmpl w:val="43D6F0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BC665E"/>
    <w:multiLevelType w:val="multilevel"/>
    <w:tmpl w:val="030639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1CA7A4C"/>
    <w:multiLevelType w:val="hybridMultilevel"/>
    <w:tmpl w:val="472607AA"/>
    <w:lvl w:ilvl="0" w:tplc="23E0CA60">
      <w:start w:val="1"/>
      <w:numFmt w:val="decimal"/>
      <w:lvlText w:val="%1."/>
      <w:lvlJc w:val="left"/>
      <w:pPr>
        <w:ind w:left="1080" w:hanging="720"/>
      </w:pPr>
      <w:rPr>
        <w:rFonts w:asciiTheme="minorHAnsi" w:eastAsia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E06D7"/>
    <w:multiLevelType w:val="hybridMultilevel"/>
    <w:tmpl w:val="D81E8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015879"/>
    <w:multiLevelType w:val="hybridMultilevel"/>
    <w:tmpl w:val="EAE026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215D18"/>
    <w:multiLevelType w:val="multilevel"/>
    <w:tmpl w:val="42E0E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9C365D2"/>
    <w:multiLevelType w:val="hybridMultilevel"/>
    <w:tmpl w:val="C820E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543CEA"/>
    <w:multiLevelType w:val="hybridMultilevel"/>
    <w:tmpl w:val="033C8B3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942457F"/>
    <w:multiLevelType w:val="hybridMultilevel"/>
    <w:tmpl w:val="B084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60443F"/>
    <w:multiLevelType w:val="hybridMultilevel"/>
    <w:tmpl w:val="32181DC2"/>
    <w:lvl w:ilvl="0" w:tplc="A6C0BBC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C559E0"/>
    <w:multiLevelType w:val="hybridMultilevel"/>
    <w:tmpl w:val="4B58CAC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43C514C"/>
    <w:multiLevelType w:val="hybridMultilevel"/>
    <w:tmpl w:val="BD944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B44811"/>
    <w:multiLevelType w:val="hybridMultilevel"/>
    <w:tmpl w:val="0BB475BE"/>
    <w:lvl w:ilvl="0" w:tplc="83225292">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C511B5"/>
    <w:multiLevelType w:val="hybridMultilevel"/>
    <w:tmpl w:val="EBD63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D0855DA"/>
    <w:multiLevelType w:val="hybridMultilevel"/>
    <w:tmpl w:val="C5224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064FD4"/>
    <w:multiLevelType w:val="hybridMultilevel"/>
    <w:tmpl w:val="9618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2E2A50"/>
    <w:multiLevelType w:val="hybridMultilevel"/>
    <w:tmpl w:val="BCD01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9E1B0A"/>
    <w:multiLevelType w:val="hybridMultilevel"/>
    <w:tmpl w:val="957066E6"/>
    <w:lvl w:ilvl="0" w:tplc="4D5635B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EB0201"/>
    <w:multiLevelType w:val="hybridMultilevel"/>
    <w:tmpl w:val="EAF45A16"/>
    <w:lvl w:ilvl="0" w:tplc="10E8FB4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91E5383"/>
    <w:multiLevelType w:val="hybridMultilevel"/>
    <w:tmpl w:val="B0809B14"/>
    <w:lvl w:ilvl="0" w:tplc="69EE6F70">
      <w:start w:val="1"/>
      <w:numFmt w:val="bullet"/>
      <w:lvlText w:val="-"/>
      <w:lvlJc w:val="left"/>
      <w:pPr>
        <w:ind w:left="862" w:hanging="360"/>
      </w:pPr>
      <w:rPr>
        <w:rFonts w:ascii="Aptos" w:eastAsia="Aptos" w:hAnsi="Aptos" w:cs="Times New Roman"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24" w15:restartNumberingAfterBreak="0">
    <w:nsid w:val="7B540C68"/>
    <w:multiLevelType w:val="hybridMultilevel"/>
    <w:tmpl w:val="436E2B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CE669FF"/>
    <w:multiLevelType w:val="hybridMultilevel"/>
    <w:tmpl w:val="DE1C65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26808675">
    <w:abstractNumId w:val="2"/>
  </w:num>
  <w:num w:numId="2" w16cid:durableId="1491868884">
    <w:abstractNumId w:val="3"/>
  </w:num>
  <w:num w:numId="3" w16cid:durableId="806095390">
    <w:abstractNumId w:val="19"/>
  </w:num>
  <w:num w:numId="4" w16cid:durableId="1756778064">
    <w:abstractNumId w:val="21"/>
  </w:num>
  <w:num w:numId="5" w16cid:durableId="1097286709">
    <w:abstractNumId w:val="18"/>
  </w:num>
  <w:num w:numId="6" w16cid:durableId="67463503">
    <w:abstractNumId w:val="7"/>
  </w:num>
  <w:num w:numId="7" w16cid:durableId="1002928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1041994">
    <w:abstractNumId w:val="8"/>
  </w:num>
  <w:num w:numId="9" w16cid:durableId="1274095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132130">
    <w:abstractNumId w:val="17"/>
  </w:num>
  <w:num w:numId="11" w16cid:durableId="648944662">
    <w:abstractNumId w:val="0"/>
  </w:num>
  <w:num w:numId="12" w16cid:durableId="1411149475">
    <w:abstractNumId w:val="12"/>
  </w:num>
  <w:num w:numId="13" w16cid:durableId="1744327155">
    <w:abstractNumId w:val="15"/>
  </w:num>
  <w:num w:numId="14" w16cid:durableId="1041369907">
    <w:abstractNumId w:val="10"/>
  </w:num>
  <w:num w:numId="15" w16cid:durableId="1883320106">
    <w:abstractNumId w:val="22"/>
  </w:num>
  <w:num w:numId="16" w16cid:durableId="200363824">
    <w:abstractNumId w:val="16"/>
  </w:num>
  <w:num w:numId="17" w16cid:durableId="617639208">
    <w:abstractNumId w:val="13"/>
  </w:num>
  <w:num w:numId="18" w16cid:durableId="1686857628">
    <w:abstractNumId w:val="6"/>
  </w:num>
  <w:num w:numId="19" w16cid:durableId="1283076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694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7363948">
    <w:abstractNumId w:val="23"/>
  </w:num>
  <w:num w:numId="22" w16cid:durableId="1753161251">
    <w:abstractNumId w:val="20"/>
  </w:num>
  <w:num w:numId="23" w16cid:durableId="18382282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343042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84022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7361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35F"/>
    <w:rsid w:val="0004054B"/>
    <w:rsid w:val="00076003"/>
    <w:rsid w:val="00077425"/>
    <w:rsid w:val="00092822"/>
    <w:rsid w:val="000B74E3"/>
    <w:rsid w:val="000C7F6B"/>
    <w:rsid w:val="000D705D"/>
    <w:rsid w:val="000F5A9D"/>
    <w:rsid w:val="001105B3"/>
    <w:rsid w:val="00143F1E"/>
    <w:rsid w:val="00166323"/>
    <w:rsid w:val="00174BD2"/>
    <w:rsid w:val="00175F3E"/>
    <w:rsid w:val="001761AF"/>
    <w:rsid w:val="001B1372"/>
    <w:rsid w:val="001D000E"/>
    <w:rsid w:val="001D715C"/>
    <w:rsid w:val="001F3868"/>
    <w:rsid w:val="00252521"/>
    <w:rsid w:val="00252919"/>
    <w:rsid w:val="00273F32"/>
    <w:rsid w:val="00286F89"/>
    <w:rsid w:val="002C3487"/>
    <w:rsid w:val="00357B6F"/>
    <w:rsid w:val="003637CD"/>
    <w:rsid w:val="003820DC"/>
    <w:rsid w:val="003B34CF"/>
    <w:rsid w:val="003C33F5"/>
    <w:rsid w:val="003D5327"/>
    <w:rsid w:val="003F156B"/>
    <w:rsid w:val="00422EF8"/>
    <w:rsid w:val="00434350"/>
    <w:rsid w:val="0044325C"/>
    <w:rsid w:val="004A25B6"/>
    <w:rsid w:val="004A4B64"/>
    <w:rsid w:val="004D307F"/>
    <w:rsid w:val="004E2EC4"/>
    <w:rsid w:val="0052532E"/>
    <w:rsid w:val="00560D0D"/>
    <w:rsid w:val="0057471A"/>
    <w:rsid w:val="00576D8A"/>
    <w:rsid w:val="005A702A"/>
    <w:rsid w:val="005C48AC"/>
    <w:rsid w:val="005C4C63"/>
    <w:rsid w:val="005D27EC"/>
    <w:rsid w:val="005D2F2A"/>
    <w:rsid w:val="005D30F0"/>
    <w:rsid w:val="006148C7"/>
    <w:rsid w:val="006A4FED"/>
    <w:rsid w:val="006D435F"/>
    <w:rsid w:val="006E6221"/>
    <w:rsid w:val="00720782"/>
    <w:rsid w:val="00725970"/>
    <w:rsid w:val="00725F81"/>
    <w:rsid w:val="007378FA"/>
    <w:rsid w:val="00783310"/>
    <w:rsid w:val="00793D9C"/>
    <w:rsid w:val="007A2D83"/>
    <w:rsid w:val="007D347E"/>
    <w:rsid w:val="007E3206"/>
    <w:rsid w:val="00817A16"/>
    <w:rsid w:val="009447F4"/>
    <w:rsid w:val="00964682"/>
    <w:rsid w:val="00965DAA"/>
    <w:rsid w:val="009B5E99"/>
    <w:rsid w:val="009B63F6"/>
    <w:rsid w:val="009D540E"/>
    <w:rsid w:val="009E0689"/>
    <w:rsid w:val="00A02E34"/>
    <w:rsid w:val="00A03044"/>
    <w:rsid w:val="00A416E1"/>
    <w:rsid w:val="00A57843"/>
    <w:rsid w:val="00A617AD"/>
    <w:rsid w:val="00A74EB1"/>
    <w:rsid w:val="00A74FF9"/>
    <w:rsid w:val="00A85B38"/>
    <w:rsid w:val="00AB6CC6"/>
    <w:rsid w:val="00AC3A11"/>
    <w:rsid w:val="00AF038C"/>
    <w:rsid w:val="00B0365A"/>
    <w:rsid w:val="00B64C2E"/>
    <w:rsid w:val="00B755AF"/>
    <w:rsid w:val="00B77410"/>
    <w:rsid w:val="00BB0715"/>
    <w:rsid w:val="00BB32E3"/>
    <w:rsid w:val="00BF494D"/>
    <w:rsid w:val="00BF4A6C"/>
    <w:rsid w:val="00C00FE0"/>
    <w:rsid w:val="00C021C0"/>
    <w:rsid w:val="00C118C2"/>
    <w:rsid w:val="00C35E14"/>
    <w:rsid w:val="00C557BC"/>
    <w:rsid w:val="00CB4C11"/>
    <w:rsid w:val="00CC4830"/>
    <w:rsid w:val="00CC56DD"/>
    <w:rsid w:val="00CD3B1D"/>
    <w:rsid w:val="00D26855"/>
    <w:rsid w:val="00DC17CC"/>
    <w:rsid w:val="00E0182D"/>
    <w:rsid w:val="00E551B5"/>
    <w:rsid w:val="00E65762"/>
    <w:rsid w:val="00E75522"/>
    <w:rsid w:val="00E803A9"/>
    <w:rsid w:val="00ED0879"/>
    <w:rsid w:val="00EE226A"/>
    <w:rsid w:val="00F16CF5"/>
    <w:rsid w:val="00F70D7C"/>
    <w:rsid w:val="00F8499F"/>
    <w:rsid w:val="00FA5D0F"/>
    <w:rsid w:val="00FA6399"/>
    <w:rsid w:val="00FE6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136B3697"/>
  <w15:docId w15:val="{F13304DA-A6E9-4A4F-ADA3-D16053CE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702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64682"/>
    <w:rPr>
      <w:color w:val="0000FF" w:themeColor="hyperlink"/>
      <w:u w:val="single"/>
    </w:rPr>
  </w:style>
  <w:style w:type="paragraph" w:styleId="NoSpacing">
    <w:name w:val="No Spacing"/>
    <w:uiPriority w:val="1"/>
    <w:qFormat/>
    <w:rsid w:val="00964682"/>
    <w:pPr>
      <w:widowControl w:val="0"/>
      <w:autoSpaceDE w:val="0"/>
      <w:autoSpaceDN w:val="0"/>
      <w:spacing w:after="0" w:line="240" w:lineRule="auto"/>
    </w:pPr>
    <w:rPr>
      <w:rFonts w:ascii="Arial" w:eastAsia="Arial" w:hAnsi="Arial" w:cs="Arial"/>
      <w:lang w:val="en-US"/>
    </w:rPr>
  </w:style>
  <w:style w:type="paragraph" w:styleId="PlainText">
    <w:name w:val="Plain Text"/>
    <w:basedOn w:val="Normal"/>
    <w:link w:val="PlainTextChar"/>
    <w:uiPriority w:val="99"/>
    <w:unhideWhenUsed/>
    <w:rsid w:val="009646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64682"/>
    <w:rPr>
      <w:rFonts w:ascii="Calibri" w:hAnsi="Calibri"/>
      <w:szCs w:val="21"/>
    </w:rPr>
  </w:style>
  <w:style w:type="character" w:styleId="FollowedHyperlink">
    <w:name w:val="FollowedHyperlink"/>
    <w:basedOn w:val="DefaultParagraphFont"/>
    <w:uiPriority w:val="99"/>
    <w:semiHidden/>
    <w:unhideWhenUsed/>
    <w:rsid w:val="005D2F2A"/>
    <w:rPr>
      <w:color w:val="800080" w:themeColor="followedHyperlink"/>
      <w:u w:val="single"/>
    </w:rPr>
  </w:style>
  <w:style w:type="character" w:styleId="UnresolvedMention">
    <w:name w:val="Unresolved Mention"/>
    <w:basedOn w:val="DefaultParagraphFont"/>
    <w:uiPriority w:val="99"/>
    <w:semiHidden/>
    <w:unhideWhenUsed/>
    <w:rsid w:val="00EE226A"/>
    <w:rPr>
      <w:color w:val="605E5C"/>
      <w:shd w:val="clear" w:color="auto" w:fill="E1DFDD"/>
    </w:rPr>
  </w:style>
  <w:style w:type="paragraph" w:styleId="ListParagraph">
    <w:name w:val="List Paragraph"/>
    <w:basedOn w:val="Normal"/>
    <w:uiPriority w:val="34"/>
    <w:qFormat/>
    <w:rsid w:val="00434350"/>
    <w:pPr>
      <w:ind w:left="720"/>
      <w:contextualSpacing/>
    </w:pPr>
  </w:style>
  <w:style w:type="character" w:styleId="Strong">
    <w:name w:val="Strong"/>
    <w:basedOn w:val="DefaultParagraphFont"/>
    <w:uiPriority w:val="22"/>
    <w:qFormat/>
    <w:rsid w:val="00965DAA"/>
    <w:rPr>
      <w:rFonts w:ascii="Calibri" w:hAnsi="Calibri"/>
      <w:b/>
      <w:bCs/>
      <w:sz w:val="24"/>
    </w:rPr>
  </w:style>
  <w:style w:type="paragraph" w:customStyle="1" w:styleId="ydp2d3d2981yiv7501689956msolistparagraph">
    <w:name w:val="ydp2d3d2981yiv7501689956msolistparagraph"/>
    <w:basedOn w:val="Normal"/>
    <w:rsid w:val="00B77410"/>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B7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410"/>
  </w:style>
  <w:style w:type="paragraph" w:styleId="Footer">
    <w:name w:val="footer"/>
    <w:basedOn w:val="Normal"/>
    <w:link w:val="FooterChar"/>
    <w:unhideWhenUsed/>
    <w:rsid w:val="00B77410"/>
    <w:pPr>
      <w:tabs>
        <w:tab w:val="center" w:pos="4513"/>
        <w:tab w:val="right" w:pos="9026"/>
      </w:tabs>
      <w:spacing w:after="0" w:line="240" w:lineRule="auto"/>
    </w:pPr>
  </w:style>
  <w:style w:type="character" w:customStyle="1" w:styleId="FooterChar">
    <w:name w:val="Footer Char"/>
    <w:basedOn w:val="DefaultParagraphFont"/>
    <w:link w:val="Footer"/>
    <w:rsid w:val="00B77410"/>
  </w:style>
  <w:style w:type="character" w:customStyle="1" w:styleId="taxonomy-tooltip-element1">
    <w:name w:val="taxonomy-tooltip-element1"/>
    <w:basedOn w:val="DefaultParagraphFont"/>
    <w:rsid w:val="00AB6CC6"/>
    <w:rPr>
      <w:i w:val="0"/>
      <w:iCs w:val="0"/>
      <w:sz w:val="24"/>
      <w:szCs w:val="24"/>
      <w:bdr w:val="none" w:sz="0" w:space="0" w:color="auto" w:frame="1"/>
      <w:vertAlign w:val="baseline"/>
    </w:rPr>
  </w:style>
  <w:style w:type="paragraph" w:styleId="NormalWeb">
    <w:name w:val="Normal (Web)"/>
    <w:basedOn w:val="Normal"/>
    <w:uiPriority w:val="99"/>
    <w:unhideWhenUsed/>
    <w:rsid w:val="00AB6CC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304">
      <w:bodyDiv w:val="1"/>
      <w:marLeft w:val="0"/>
      <w:marRight w:val="0"/>
      <w:marTop w:val="0"/>
      <w:marBottom w:val="0"/>
      <w:divBdr>
        <w:top w:val="none" w:sz="0" w:space="0" w:color="auto"/>
        <w:left w:val="none" w:sz="0" w:space="0" w:color="auto"/>
        <w:bottom w:val="none" w:sz="0" w:space="0" w:color="auto"/>
        <w:right w:val="none" w:sz="0" w:space="0" w:color="auto"/>
      </w:divBdr>
    </w:div>
    <w:div w:id="689260285">
      <w:bodyDiv w:val="1"/>
      <w:marLeft w:val="0"/>
      <w:marRight w:val="0"/>
      <w:marTop w:val="0"/>
      <w:marBottom w:val="0"/>
      <w:divBdr>
        <w:top w:val="none" w:sz="0" w:space="0" w:color="auto"/>
        <w:left w:val="none" w:sz="0" w:space="0" w:color="auto"/>
        <w:bottom w:val="none" w:sz="0" w:space="0" w:color="auto"/>
        <w:right w:val="none" w:sz="0" w:space="0" w:color="auto"/>
      </w:divBdr>
    </w:div>
    <w:div w:id="912662057">
      <w:bodyDiv w:val="1"/>
      <w:marLeft w:val="0"/>
      <w:marRight w:val="0"/>
      <w:marTop w:val="0"/>
      <w:marBottom w:val="0"/>
      <w:divBdr>
        <w:top w:val="none" w:sz="0" w:space="0" w:color="auto"/>
        <w:left w:val="none" w:sz="0" w:space="0" w:color="auto"/>
        <w:bottom w:val="none" w:sz="0" w:space="0" w:color="auto"/>
        <w:right w:val="none" w:sz="0" w:space="0" w:color="auto"/>
      </w:divBdr>
    </w:div>
    <w:div w:id="1130903231">
      <w:bodyDiv w:val="1"/>
      <w:marLeft w:val="0"/>
      <w:marRight w:val="0"/>
      <w:marTop w:val="0"/>
      <w:marBottom w:val="0"/>
      <w:divBdr>
        <w:top w:val="none" w:sz="0" w:space="0" w:color="auto"/>
        <w:left w:val="none" w:sz="0" w:space="0" w:color="auto"/>
        <w:bottom w:val="none" w:sz="0" w:space="0" w:color="auto"/>
        <w:right w:val="none" w:sz="0" w:space="0" w:color="auto"/>
      </w:divBdr>
    </w:div>
    <w:div w:id="20494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ts-pcc.gov.uk/transparency/holding-pcc-account/publications-and-policies/" TargetMode="External"/><Relationship Id="rId3" Type="http://schemas.openxmlformats.org/officeDocument/2006/relationships/settings" Target="settings.xml"/><Relationship Id="rId7" Type="http://schemas.openxmlformats.org/officeDocument/2006/relationships/hyperlink" Target="https://www.herts-pcc.gov.uk/transparency/finances-and-reserv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4</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 Howard 8399</dc:creator>
  <cp:lastModifiedBy>ACOSTA JESSUP, Caitlin 7937</cp:lastModifiedBy>
  <cp:revision>85</cp:revision>
  <cp:lastPrinted>2020-06-02T14:13:00Z</cp:lastPrinted>
  <dcterms:created xsi:type="dcterms:W3CDTF">2014-12-02T09:41:00Z</dcterms:created>
  <dcterms:modified xsi:type="dcterms:W3CDTF">2025-07-31T12:16:00Z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2020-12-14T15:44:37Z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b88013b5-0b72-4188-a554-e461727fa313</vt:lpwstr>
  </property>
  <property fmtid="{D5CDD505-2E9C-101B-9397-08002B2CF9AE}" pid="8" name="MSIP_Label_b8b5aee8-5735-4353-85b0-06b0f114040f_ContentBits">
    <vt:lpwstr>0</vt:lpwstr>
  </property>
</Properties>
</file>