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7FA0EAD5"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A416E1" w:rsidRPr="00A416E1">
        <w:rPr>
          <w:rFonts w:ascii="Aptos" w:hAnsi="Aptos" w:cstheme="minorHAnsi"/>
          <w:sz w:val="24"/>
          <w:szCs w:val="24"/>
        </w:rPr>
        <w:t>15</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Pr="00A416E1"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EC4220E" w14:textId="77777777" w:rsidR="009447F4" w:rsidRPr="00A416E1" w:rsidRDefault="009447F4" w:rsidP="009447F4">
      <w:pPr>
        <w:rPr>
          <w:rFonts w:ascii="Aptos" w:hAnsi="Aptos" w:cstheme="minorHAnsi"/>
          <w:sz w:val="24"/>
          <w:szCs w:val="24"/>
        </w:rPr>
      </w:pPr>
    </w:p>
    <w:p w14:paraId="656D9999" w14:textId="4F56B563" w:rsidR="00A416E1" w:rsidRPr="00A416E1" w:rsidRDefault="00A416E1" w:rsidP="00A416E1">
      <w:pPr>
        <w:numPr>
          <w:ilvl w:val="0"/>
          <w:numId w:val="25"/>
        </w:numPr>
        <w:tabs>
          <w:tab w:val="clear" w:pos="720"/>
        </w:tabs>
        <w:spacing w:after="180" w:line="360" w:lineRule="auto"/>
        <w:ind w:left="426" w:hanging="426"/>
        <w:rPr>
          <w:rFonts w:ascii="Aptos" w:eastAsia="Times New Roman" w:hAnsi="Aptos" w:cstheme="minorHAnsi"/>
          <w:b/>
          <w:bCs/>
          <w:sz w:val="24"/>
          <w:szCs w:val="24"/>
        </w:rPr>
      </w:pPr>
      <w:bookmarkStart w:id="0" w:name="_Hlk157760704"/>
      <w:r w:rsidRPr="00A416E1">
        <w:rPr>
          <w:rFonts w:ascii="Aptos" w:eastAsia="Times New Roman" w:hAnsi="Aptos" w:cstheme="minorHAnsi"/>
          <w:b/>
          <w:bCs/>
          <w:sz w:val="24"/>
          <w:szCs w:val="24"/>
        </w:rPr>
        <w:t>A copy of the original tender documents submitted by Beacon Victim Care and/or Catch-22 Ltd, including their proposed delivery model, staffing structure, and business model.</w:t>
      </w:r>
    </w:p>
    <w:p w14:paraId="38AA7BAB" w14:textId="77777777" w:rsidR="00A416E1" w:rsidRPr="00A416E1" w:rsidRDefault="00A416E1" w:rsidP="00A416E1">
      <w:pPr>
        <w:pStyle w:val="NoSpacing"/>
        <w:spacing w:line="360" w:lineRule="auto"/>
        <w:ind w:left="426"/>
        <w:rPr>
          <w:rFonts w:ascii="Aptos" w:hAnsi="Aptos" w:cstheme="minorHAnsi"/>
          <w:sz w:val="24"/>
          <w:szCs w:val="24"/>
          <w:lang w:val="en-GB"/>
        </w:rPr>
      </w:pPr>
      <w:r w:rsidRPr="00A416E1">
        <w:rPr>
          <w:rFonts w:ascii="Aptos" w:hAnsi="Aptos" w:cstheme="minorHAnsi"/>
          <w:sz w:val="24"/>
          <w:szCs w:val="24"/>
          <w:lang w:val="en-GB"/>
        </w:rPr>
        <w:t xml:space="preserve">Information on this is exempt pursuant to Section 43(2) of the Freedom of Information Act. Section 43(2) states that information is exempt if its disclosure would, or would be likely to, prejudice the commercial interests of any person (including the public authority holding it). </w:t>
      </w:r>
    </w:p>
    <w:p w14:paraId="7F5716F9" w14:textId="77777777" w:rsidR="00A416E1" w:rsidRPr="00A416E1" w:rsidRDefault="00A416E1" w:rsidP="00A416E1">
      <w:pPr>
        <w:pStyle w:val="NoSpacing"/>
        <w:spacing w:line="360" w:lineRule="auto"/>
        <w:ind w:left="567"/>
        <w:rPr>
          <w:rFonts w:ascii="Aptos" w:hAnsi="Aptos" w:cstheme="minorHAnsi"/>
          <w:sz w:val="24"/>
          <w:szCs w:val="24"/>
          <w:lang w:val="en-GB"/>
        </w:rPr>
      </w:pPr>
    </w:p>
    <w:p w14:paraId="4B195614" w14:textId="77777777" w:rsidR="00A416E1" w:rsidRPr="00A416E1" w:rsidRDefault="00A416E1" w:rsidP="00A416E1">
      <w:pPr>
        <w:pStyle w:val="NoSpacing"/>
        <w:spacing w:line="360" w:lineRule="auto"/>
        <w:ind w:left="426"/>
        <w:rPr>
          <w:rFonts w:ascii="Aptos" w:eastAsiaTheme="minorHAnsi" w:hAnsi="Aptos" w:cstheme="minorHAnsi"/>
          <w:sz w:val="24"/>
          <w:szCs w:val="24"/>
          <w:lang w:val="en-GB"/>
        </w:rPr>
      </w:pPr>
      <w:r w:rsidRPr="00A416E1">
        <w:rPr>
          <w:rFonts w:ascii="Aptos" w:hAnsi="Aptos" w:cstheme="minorHAnsi"/>
          <w:sz w:val="24"/>
          <w:szCs w:val="24"/>
          <w:lang w:val="en-GB"/>
        </w:rPr>
        <w:t xml:space="preserve">Please see Appendix A below for further details on this exemption.  </w:t>
      </w:r>
    </w:p>
    <w:bookmarkEnd w:id="0"/>
    <w:p w14:paraId="26080E6A" w14:textId="77777777" w:rsidR="00A416E1" w:rsidRPr="00A416E1" w:rsidRDefault="00A416E1" w:rsidP="00A416E1">
      <w:pPr>
        <w:pStyle w:val="NoSpacing"/>
        <w:spacing w:line="360" w:lineRule="auto"/>
        <w:rPr>
          <w:rFonts w:ascii="Aptos" w:hAnsi="Aptos" w:cstheme="minorHAnsi"/>
          <w:sz w:val="24"/>
          <w:szCs w:val="24"/>
          <w:lang w:val="en-GB"/>
        </w:rPr>
      </w:pPr>
    </w:p>
    <w:p w14:paraId="1E1DC77C" w14:textId="77777777" w:rsidR="00A416E1" w:rsidRPr="00A416E1" w:rsidRDefault="00A416E1" w:rsidP="00A416E1">
      <w:pPr>
        <w:numPr>
          <w:ilvl w:val="0"/>
          <w:numId w:val="25"/>
        </w:numPr>
        <w:tabs>
          <w:tab w:val="clear" w:pos="720"/>
        </w:tabs>
        <w:spacing w:after="180" w:line="360" w:lineRule="auto"/>
        <w:ind w:left="426" w:hanging="426"/>
        <w:rPr>
          <w:rFonts w:ascii="Aptos" w:eastAsia="Times New Roman" w:hAnsi="Aptos" w:cstheme="minorHAnsi"/>
          <w:b/>
          <w:bCs/>
          <w:sz w:val="24"/>
          <w:szCs w:val="24"/>
        </w:rPr>
      </w:pPr>
      <w:r w:rsidRPr="00A416E1">
        <w:rPr>
          <w:rFonts w:ascii="Aptos" w:eastAsia="Times New Roman" w:hAnsi="Aptos" w:cstheme="minorHAnsi"/>
          <w:b/>
          <w:bCs/>
          <w:sz w:val="24"/>
          <w:szCs w:val="24"/>
        </w:rPr>
        <w:t>The evaluation criteria and scoring matrix used to assess tender submissions, including whether price or value-for-money was a key factor.</w:t>
      </w:r>
    </w:p>
    <w:p w14:paraId="777AA4C1" w14:textId="77777777" w:rsidR="00A416E1" w:rsidRPr="00A416E1" w:rsidRDefault="00A416E1" w:rsidP="00A416E1">
      <w:pPr>
        <w:spacing w:after="180" w:line="360" w:lineRule="auto"/>
        <w:ind w:left="426"/>
        <w:rPr>
          <w:rFonts w:ascii="Aptos" w:eastAsia="Times New Roman" w:hAnsi="Aptos" w:cstheme="minorHAnsi"/>
          <w:sz w:val="24"/>
          <w:szCs w:val="24"/>
        </w:rPr>
      </w:pPr>
      <w:r w:rsidRPr="00A416E1">
        <w:rPr>
          <w:rFonts w:ascii="Aptos" w:eastAsia="Times New Roman" w:hAnsi="Aptos" w:cstheme="minorHAnsi"/>
          <w:sz w:val="24"/>
          <w:szCs w:val="24"/>
        </w:rPr>
        <w:t>The evaluation criteria used by 7 Force Procurement was a standard scoring system that allocated 60% to quality and 40% to cost. The quality evaluation criteria are set out below:</w:t>
      </w:r>
    </w:p>
    <w:p w14:paraId="370F6F9C" w14:textId="77777777" w:rsidR="00A416E1" w:rsidRPr="00A416E1" w:rsidRDefault="00A416E1" w:rsidP="00A416E1">
      <w:pPr>
        <w:spacing w:line="360" w:lineRule="auto"/>
        <w:rPr>
          <w:rFonts w:ascii="Aptos" w:hAnsi="Aptos" w:cstheme="minorHAnsi"/>
          <w:bCs/>
          <w:sz w:val="24"/>
          <w:szCs w:val="24"/>
        </w:rPr>
      </w:pPr>
      <w:r w:rsidRPr="00A416E1">
        <w:rPr>
          <w:rFonts w:ascii="Aptos" w:hAnsi="Aptos" w:cstheme="minorHAnsi"/>
          <w:bCs/>
          <w:sz w:val="24"/>
          <w:szCs w:val="24"/>
          <w:u w:val="single"/>
        </w:rPr>
        <w:t>Section 1: Contract Mobilisation (3%)</w:t>
      </w:r>
    </w:p>
    <w:p w14:paraId="663971EF" w14:textId="77777777" w:rsidR="00A416E1" w:rsidRPr="00A416E1" w:rsidRDefault="00A416E1" w:rsidP="00A416E1">
      <w:pPr>
        <w:spacing w:line="360" w:lineRule="auto"/>
        <w:rPr>
          <w:rFonts w:ascii="Aptos" w:hAnsi="Aptos" w:cstheme="minorHAnsi"/>
          <w:bCs/>
          <w:sz w:val="24"/>
          <w:szCs w:val="24"/>
          <w:u w:val="single"/>
        </w:rPr>
      </w:pPr>
      <w:r w:rsidRPr="00A416E1">
        <w:rPr>
          <w:rFonts w:ascii="Aptos" w:hAnsi="Aptos" w:cstheme="minorHAnsi"/>
          <w:bCs/>
          <w:sz w:val="24"/>
          <w:szCs w:val="24"/>
          <w:u w:val="single"/>
        </w:rPr>
        <w:t>Section 2: Beacon case managed service management &amp; delivery (33%)</w:t>
      </w:r>
    </w:p>
    <w:p w14:paraId="44D4DBDB"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[3] 7% Delivery of all aspects of the service during the life of the contract</w:t>
      </w:r>
    </w:p>
    <w:p w14:paraId="350327F7" w14:textId="77777777" w:rsidR="00A416E1" w:rsidRPr="00A416E1" w:rsidRDefault="00A416E1" w:rsidP="00A416E1">
      <w:pPr>
        <w:spacing w:after="180" w:line="360" w:lineRule="auto"/>
        <w:rPr>
          <w:rFonts w:ascii="Aptos" w:eastAsia="Times New Roman" w:hAnsi="Aptos" w:cstheme="minorHAnsi"/>
          <w:bCs/>
          <w:sz w:val="24"/>
          <w:szCs w:val="24"/>
        </w:rPr>
      </w:pPr>
      <w:r w:rsidRPr="00A416E1">
        <w:rPr>
          <w:rFonts w:ascii="Aptos" w:hAnsi="Aptos" w:cstheme="minorHAnsi"/>
          <w:bCs/>
          <w:sz w:val="24"/>
          <w:szCs w:val="24"/>
        </w:rPr>
        <w:lastRenderedPageBreak/>
        <w:t>QUESTION [3] 7% Delivery of service: Immediate and long-term priorities</w:t>
      </w:r>
    </w:p>
    <w:p w14:paraId="55210C8A" w14:textId="77777777" w:rsidR="00A416E1" w:rsidRPr="00A416E1" w:rsidRDefault="00A416E1" w:rsidP="00A416E1">
      <w:pPr>
        <w:adjustRightInd w:val="0"/>
        <w:spacing w:line="360" w:lineRule="auto"/>
        <w:rPr>
          <w:rFonts w:ascii="Aptos" w:hAnsi="Aptos" w:cstheme="minorHAnsi"/>
          <w:bCs/>
          <w:sz w:val="24"/>
          <w:szCs w:val="24"/>
        </w:rPr>
      </w:pPr>
      <w:r w:rsidRPr="00A416E1">
        <w:rPr>
          <w:rFonts w:ascii="Aptos" w:hAnsi="Aptos" w:cstheme="minorHAnsi"/>
          <w:bCs/>
          <w:sz w:val="24"/>
          <w:szCs w:val="24"/>
        </w:rPr>
        <w:t>QUESTION [4] 7% Delivery of service: governance arrangements</w:t>
      </w:r>
    </w:p>
    <w:p w14:paraId="6FEAF3DB"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 xml:space="preserve">QUESTION [5] 3% Accessibility </w:t>
      </w:r>
    </w:p>
    <w:p w14:paraId="2399FDB7"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[6] 3% Co-ordinated care</w:t>
      </w:r>
    </w:p>
    <w:p w14:paraId="65A71159"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[7] 3% Early identification of needs</w:t>
      </w:r>
    </w:p>
    <w:p w14:paraId="55516231"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[8] 3% Innovation and Continuous Improvement:</w:t>
      </w:r>
    </w:p>
    <w:p w14:paraId="2E30C9FE" w14:textId="77777777" w:rsidR="00A416E1" w:rsidRPr="00A416E1" w:rsidRDefault="00A416E1" w:rsidP="00A416E1">
      <w:pPr>
        <w:spacing w:line="360" w:lineRule="auto"/>
        <w:rPr>
          <w:rFonts w:ascii="Aptos" w:hAnsi="Aptos" w:cstheme="minorHAnsi"/>
          <w:bCs/>
          <w:sz w:val="24"/>
          <w:szCs w:val="24"/>
        </w:rPr>
      </w:pPr>
      <w:r w:rsidRPr="00A416E1">
        <w:rPr>
          <w:rFonts w:ascii="Aptos" w:hAnsi="Aptos" w:cstheme="minorHAnsi"/>
          <w:bCs/>
          <w:sz w:val="24"/>
          <w:szCs w:val="24"/>
          <w:u w:val="single"/>
        </w:rPr>
        <w:t>Section 3:</w:t>
      </w:r>
      <w:r w:rsidRPr="00A416E1">
        <w:rPr>
          <w:rFonts w:ascii="Aptos" w:hAnsi="Aptos" w:cstheme="minorHAnsi"/>
          <w:bCs/>
          <w:sz w:val="24"/>
          <w:szCs w:val="24"/>
        </w:rPr>
        <w:t xml:space="preserve"> Information Management and Technology (4%)</w:t>
      </w:r>
    </w:p>
    <w:p w14:paraId="20C1E719"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[9] 1% Information management and technology</w:t>
      </w:r>
    </w:p>
    <w:p w14:paraId="49CB6B0B"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[10] 1% KPIs</w:t>
      </w:r>
    </w:p>
    <w:p w14:paraId="1BD67158"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 xml:space="preserve">QUESTION [11] 1% Information sharing </w:t>
      </w:r>
    </w:p>
    <w:p w14:paraId="0CC70979" w14:textId="77777777" w:rsidR="00A416E1" w:rsidRPr="00A416E1" w:rsidRDefault="00A416E1" w:rsidP="00A416E1">
      <w:pPr>
        <w:spacing w:after="180" w:line="360" w:lineRule="auto"/>
        <w:rPr>
          <w:rFonts w:ascii="Aptos" w:hAnsi="Aptos" w:cstheme="minorHAnsi"/>
          <w:bCs/>
          <w:sz w:val="24"/>
          <w:szCs w:val="24"/>
        </w:rPr>
      </w:pPr>
      <w:r w:rsidRPr="00A416E1">
        <w:rPr>
          <w:rFonts w:ascii="Aptos" w:hAnsi="Aptos" w:cstheme="minorHAnsi"/>
          <w:bCs/>
          <w:sz w:val="24"/>
          <w:szCs w:val="24"/>
        </w:rPr>
        <w:t>QUESTION [12] 1% Information management</w:t>
      </w:r>
    </w:p>
    <w:p w14:paraId="4AC32BE4" w14:textId="77777777" w:rsidR="00A416E1" w:rsidRPr="00A416E1" w:rsidRDefault="00A416E1" w:rsidP="00A416E1">
      <w:pPr>
        <w:spacing w:line="360" w:lineRule="auto"/>
        <w:rPr>
          <w:rFonts w:ascii="Aptos" w:hAnsi="Aptos" w:cstheme="minorHAnsi"/>
          <w:bCs/>
          <w:sz w:val="24"/>
          <w:szCs w:val="24"/>
          <w:u w:val="single"/>
        </w:rPr>
      </w:pPr>
      <w:r w:rsidRPr="00A416E1">
        <w:rPr>
          <w:rFonts w:ascii="Aptos" w:hAnsi="Aptos" w:cstheme="minorHAnsi"/>
          <w:bCs/>
          <w:sz w:val="24"/>
          <w:szCs w:val="24"/>
          <w:u w:val="single"/>
        </w:rPr>
        <w:t xml:space="preserve">Section 4: Presentation Scenarios (10%)  </w:t>
      </w:r>
    </w:p>
    <w:p w14:paraId="3C77A7DD" w14:textId="77777777" w:rsidR="00A416E1" w:rsidRPr="00A416E1" w:rsidRDefault="00A416E1" w:rsidP="00A416E1">
      <w:pPr>
        <w:spacing w:line="360" w:lineRule="auto"/>
        <w:rPr>
          <w:rFonts w:ascii="Aptos" w:hAnsi="Aptos" w:cstheme="minorHAnsi"/>
          <w:bCs/>
          <w:sz w:val="24"/>
          <w:szCs w:val="24"/>
        </w:rPr>
      </w:pPr>
      <w:r w:rsidRPr="00A416E1">
        <w:rPr>
          <w:rFonts w:ascii="Aptos" w:hAnsi="Aptos" w:cstheme="minorHAnsi"/>
          <w:bCs/>
          <w:sz w:val="24"/>
          <w:szCs w:val="24"/>
        </w:rPr>
        <w:t>QUESTION [13] 4% Scenario 1</w:t>
      </w:r>
    </w:p>
    <w:p w14:paraId="556FA18D" w14:textId="77777777" w:rsidR="00A416E1" w:rsidRPr="00A416E1" w:rsidRDefault="00A416E1" w:rsidP="00A416E1">
      <w:pPr>
        <w:spacing w:line="360" w:lineRule="auto"/>
        <w:rPr>
          <w:rFonts w:ascii="Aptos" w:hAnsi="Aptos" w:cstheme="minorHAnsi"/>
          <w:bCs/>
          <w:sz w:val="24"/>
          <w:szCs w:val="24"/>
        </w:rPr>
      </w:pPr>
      <w:r w:rsidRPr="00A416E1">
        <w:rPr>
          <w:rFonts w:ascii="Aptos" w:hAnsi="Aptos" w:cstheme="minorHAnsi"/>
          <w:bCs/>
          <w:sz w:val="24"/>
          <w:szCs w:val="24"/>
        </w:rPr>
        <w:t>QUESTION [14] 3% Scenario 2</w:t>
      </w:r>
    </w:p>
    <w:p w14:paraId="36957703" w14:textId="77777777" w:rsidR="00A416E1" w:rsidRPr="00A416E1" w:rsidRDefault="00A416E1" w:rsidP="00A416E1">
      <w:pPr>
        <w:spacing w:line="360" w:lineRule="auto"/>
        <w:rPr>
          <w:rFonts w:ascii="Aptos" w:hAnsi="Aptos" w:cstheme="minorHAnsi"/>
          <w:bCs/>
          <w:sz w:val="24"/>
          <w:szCs w:val="24"/>
        </w:rPr>
      </w:pPr>
      <w:r w:rsidRPr="00A416E1">
        <w:rPr>
          <w:rFonts w:ascii="Aptos" w:hAnsi="Aptos" w:cstheme="minorHAnsi"/>
          <w:bCs/>
          <w:sz w:val="24"/>
          <w:szCs w:val="24"/>
        </w:rPr>
        <w:t>QUESTION [15] 3% Scenario 3</w:t>
      </w:r>
    </w:p>
    <w:p w14:paraId="1F03914C" w14:textId="77777777" w:rsidR="00A416E1" w:rsidRPr="00A416E1" w:rsidRDefault="00A416E1" w:rsidP="00A416E1">
      <w:pPr>
        <w:spacing w:after="160" w:line="360" w:lineRule="auto"/>
        <w:rPr>
          <w:rFonts w:ascii="Aptos" w:hAnsi="Aptos" w:cstheme="minorHAnsi"/>
          <w:bCs/>
          <w:sz w:val="24"/>
          <w:szCs w:val="24"/>
        </w:rPr>
      </w:pPr>
      <w:r w:rsidRPr="00A416E1">
        <w:rPr>
          <w:rFonts w:ascii="Aptos" w:hAnsi="Aptos" w:cstheme="minorHAnsi"/>
          <w:bCs/>
          <w:sz w:val="24"/>
          <w:szCs w:val="24"/>
          <w:u w:val="single"/>
        </w:rPr>
        <w:t>Section 5:</w:t>
      </w:r>
      <w:r w:rsidRPr="00A416E1">
        <w:rPr>
          <w:rFonts w:ascii="Aptos" w:hAnsi="Aptos" w:cstheme="minorHAnsi"/>
          <w:bCs/>
          <w:sz w:val="24"/>
          <w:szCs w:val="24"/>
        </w:rPr>
        <w:t xml:space="preserve"> Social Value   10%</w:t>
      </w:r>
    </w:p>
    <w:p w14:paraId="66E9D6F7" w14:textId="77777777" w:rsidR="00A416E1" w:rsidRPr="00A416E1" w:rsidRDefault="00A416E1" w:rsidP="00A416E1">
      <w:pPr>
        <w:spacing w:after="180" w:line="360" w:lineRule="auto"/>
        <w:rPr>
          <w:rFonts w:ascii="Aptos" w:eastAsia="Times New Roman" w:hAnsi="Aptos" w:cstheme="minorHAnsi"/>
          <w:sz w:val="24"/>
          <w:szCs w:val="24"/>
        </w:rPr>
      </w:pPr>
    </w:p>
    <w:p w14:paraId="33E8B113" w14:textId="77777777" w:rsidR="00A416E1" w:rsidRPr="00A416E1" w:rsidRDefault="00A416E1" w:rsidP="00A416E1">
      <w:pPr>
        <w:pStyle w:val="ListParagraph"/>
        <w:numPr>
          <w:ilvl w:val="0"/>
          <w:numId w:val="25"/>
        </w:numPr>
        <w:tabs>
          <w:tab w:val="clear" w:pos="720"/>
        </w:tabs>
        <w:spacing w:after="180" w:line="360" w:lineRule="auto"/>
        <w:ind w:left="426" w:hanging="426"/>
        <w:contextualSpacing w:val="0"/>
        <w:rPr>
          <w:rFonts w:ascii="Aptos" w:eastAsia="Times New Roman" w:hAnsi="Aptos" w:cstheme="minorHAnsi"/>
          <w:b/>
          <w:bCs/>
          <w:sz w:val="24"/>
          <w:szCs w:val="24"/>
        </w:rPr>
      </w:pPr>
      <w:r w:rsidRPr="00A416E1">
        <w:rPr>
          <w:rFonts w:ascii="Aptos" w:eastAsia="Times New Roman" w:hAnsi="Aptos" w:cstheme="minorHAnsi"/>
          <w:b/>
          <w:bCs/>
          <w:sz w:val="24"/>
          <w:szCs w:val="24"/>
        </w:rPr>
        <w:t>A copy of the final signed contract or service level agreement between the PCC (or Hertfordshire Constabulary) and Beacon/Catch-22.</w:t>
      </w:r>
    </w:p>
    <w:p w14:paraId="00DDFC99" w14:textId="77777777" w:rsidR="00A416E1" w:rsidRDefault="00A416E1" w:rsidP="00A416E1">
      <w:pPr>
        <w:spacing w:after="180" w:line="360" w:lineRule="auto"/>
        <w:ind w:left="426"/>
        <w:rPr>
          <w:rFonts w:ascii="Aptos" w:eastAsia="Times New Roman" w:hAnsi="Aptos" w:cstheme="minorHAnsi"/>
          <w:sz w:val="24"/>
          <w:szCs w:val="24"/>
        </w:rPr>
      </w:pPr>
      <w:r w:rsidRPr="00A416E1">
        <w:rPr>
          <w:rFonts w:ascii="Aptos" w:eastAsia="Times New Roman" w:hAnsi="Aptos" w:cstheme="minorHAnsi"/>
          <w:sz w:val="24"/>
          <w:szCs w:val="24"/>
        </w:rPr>
        <w:t xml:space="preserve">Contracts awarded to contractors following a successful tendering process are also classified as commercial in confidence, therefore, this information is also exempt pursuant to Section 43(2) of the Freedom of Information Act. </w:t>
      </w:r>
    </w:p>
    <w:p w14:paraId="6A5C5B55" w14:textId="77777777" w:rsidR="00A416E1" w:rsidRPr="00A416E1" w:rsidRDefault="00A416E1" w:rsidP="00A416E1">
      <w:pPr>
        <w:spacing w:after="180" w:line="360" w:lineRule="auto"/>
        <w:ind w:left="426"/>
        <w:rPr>
          <w:rFonts w:ascii="Aptos" w:eastAsia="Times New Roman" w:hAnsi="Aptos" w:cstheme="minorHAnsi"/>
          <w:sz w:val="24"/>
          <w:szCs w:val="24"/>
        </w:rPr>
      </w:pPr>
    </w:p>
    <w:p w14:paraId="5F303320" w14:textId="77777777" w:rsidR="00A416E1" w:rsidRPr="00A416E1" w:rsidRDefault="00A416E1" w:rsidP="00A416E1">
      <w:pPr>
        <w:spacing w:after="180" w:line="360" w:lineRule="auto"/>
        <w:ind w:left="426"/>
        <w:rPr>
          <w:rFonts w:ascii="Aptos" w:eastAsia="Times New Roman" w:hAnsi="Aptos" w:cstheme="minorHAnsi"/>
          <w:sz w:val="24"/>
          <w:szCs w:val="24"/>
        </w:rPr>
      </w:pPr>
    </w:p>
    <w:p w14:paraId="57263FA5" w14:textId="77777777" w:rsidR="00A416E1" w:rsidRPr="00A416E1" w:rsidRDefault="00A416E1" w:rsidP="00A416E1">
      <w:pPr>
        <w:numPr>
          <w:ilvl w:val="0"/>
          <w:numId w:val="25"/>
        </w:numPr>
        <w:tabs>
          <w:tab w:val="clear" w:pos="720"/>
        </w:tabs>
        <w:spacing w:after="180" w:line="360" w:lineRule="auto"/>
        <w:ind w:left="426" w:hanging="426"/>
        <w:rPr>
          <w:rFonts w:ascii="Aptos" w:eastAsia="Times New Roman" w:hAnsi="Aptos" w:cstheme="minorHAnsi"/>
          <w:b/>
          <w:bCs/>
          <w:sz w:val="24"/>
          <w:szCs w:val="24"/>
        </w:rPr>
      </w:pPr>
      <w:r w:rsidRPr="00A416E1">
        <w:rPr>
          <w:rFonts w:ascii="Aptos" w:eastAsia="Times New Roman" w:hAnsi="Aptos" w:cstheme="minorHAnsi"/>
          <w:b/>
          <w:bCs/>
          <w:sz w:val="24"/>
          <w:szCs w:val="24"/>
        </w:rPr>
        <w:lastRenderedPageBreak/>
        <w:t>The total annual contract value paid to Beacon and/or Catch-22 for each year of service delivery.</w:t>
      </w:r>
    </w:p>
    <w:p w14:paraId="71648D42" w14:textId="77777777" w:rsidR="00A416E1" w:rsidRPr="00A416E1" w:rsidRDefault="00A416E1" w:rsidP="00A416E1">
      <w:pPr>
        <w:spacing w:after="180" w:line="360" w:lineRule="auto"/>
        <w:ind w:left="567"/>
        <w:rPr>
          <w:rFonts w:ascii="Aptos" w:eastAsia="Times New Roman" w:hAnsi="Aptos" w:cstheme="minorHAnsi"/>
          <w:sz w:val="24"/>
          <w:szCs w:val="24"/>
        </w:rPr>
      </w:pPr>
      <w:r w:rsidRPr="00A416E1">
        <w:rPr>
          <w:rFonts w:ascii="Aptos" w:eastAsia="Times New Roman" w:hAnsi="Aptos" w:cstheme="minorHAnsi"/>
          <w:sz w:val="24"/>
          <w:szCs w:val="24"/>
        </w:rPr>
        <w:t>The current contract between the Hertfordshire OPCC and Catch 22 for the four-year contract period from 01 April 2022 to 31 March 2026 is £2,800,000.</w:t>
      </w:r>
    </w:p>
    <w:p w14:paraId="398C0188" w14:textId="77777777" w:rsidR="00A416E1" w:rsidRPr="00A416E1" w:rsidRDefault="00A416E1" w:rsidP="00A416E1">
      <w:pPr>
        <w:spacing w:after="180" w:line="360" w:lineRule="auto"/>
        <w:ind w:left="567"/>
        <w:rPr>
          <w:rFonts w:ascii="Aptos" w:eastAsia="Times New Roman" w:hAnsi="Aptos" w:cstheme="minorHAnsi"/>
          <w:sz w:val="24"/>
          <w:szCs w:val="24"/>
        </w:rPr>
      </w:pPr>
    </w:p>
    <w:p w14:paraId="4B238F41" w14:textId="77777777" w:rsidR="00A416E1" w:rsidRPr="00A416E1" w:rsidRDefault="00A416E1" w:rsidP="00A416E1">
      <w:pPr>
        <w:numPr>
          <w:ilvl w:val="0"/>
          <w:numId w:val="25"/>
        </w:numPr>
        <w:tabs>
          <w:tab w:val="clear" w:pos="720"/>
        </w:tabs>
        <w:spacing w:after="180" w:line="360" w:lineRule="auto"/>
        <w:ind w:left="426" w:hanging="426"/>
        <w:rPr>
          <w:rFonts w:ascii="Aptos" w:eastAsia="Times New Roman" w:hAnsi="Aptos" w:cstheme="minorHAnsi"/>
          <w:b/>
          <w:bCs/>
          <w:sz w:val="24"/>
          <w:szCs w:val="24"/>
        </w:rPr>
      </w:pPr>
      <w:r w:rsidRPr="00A416E1">
        <w:rPr>
          <w:rFonts w:ascii="Aptos" w:eastAsia="Times New Roman" w:hAnsi="Aptos" w:cstheme="minorHAnsi"/>
          <w:b/>
          <w:bCs/>
          <w:sz w:val="24"/>
          <w:szCs w:val="24"/>
        </w:rPr>
        <w:t>Any documents or clauses requiring Catch-22 Ltd or Beacon to declare profits, surpluses, or financial outcomes in relation to the victim care service.</w:t>
      </w:r>
    </w:p>
    <w:p w14:paraId="2E3B8A14" w14:textId="77777777" w:rsidR="00A416E1" w:rsidRPr="00A416E1" w:rsidRDefault="00A416E1" w:rsidP="00A416E1">
      <w:pPr>
        <w:spacing w:after="180" w:line="360" w:lineRule="auto"/>
        <w:ind w:left="426"/>
        <w:rPr>
          <w:rFonts w:ascii="Aptos" w:eastAsia="Times New Roman" w:hAnsi="Aptos" w:cstheme="minorHAnsi"/>
          <w:sz w:val="24"/>
          <w:szCs w:val="24"/>
        </w:rPr>
      </w:pPr>
      <w:r w:rsidRPr="00A416E1">
        <w:rPr>
          <w:rFonts w:ascii="Aptos" w:eastAsia="Times New Roman" w:hAnsi="Aptos" w:cstheme="minorHAnsi"/>
          <w:sz w:val="24"/>
          <w:szCs w:val="24"/>
        </w:rPr>
        <w:t xml:space="preserve">Contracts awarded to contractors following a successful tendering process are classified as commercial in confidence, therefore, this information is also exempt pursuant to Section 43(2) of the Freedom of Information Act. </w:t>
      </w:r>
    </w:p>
    <w:p w14:paraId="3D2CF676" w14:textId="77777777" w:rsidR="00A416E1" w:rsidRPr="00A416E1" w:rsidRDefault="00A416E1" w:rsidP="00A416E1">
      <w:pPr>
        <w:spacing w:after="180" w:line="360" w:lineRule="auto"/>
        <w:rPr>
          <w:rFonts w:ascii="Aptos" w:eastAsia="Times New Roman" w:hAnsi="Aptos" w:cstheme="minorHAnsi"/>
          <w:sz w:val="24"/>
          <w:szCs w:val="24"/>
        </w:rPr>
      </w:pPr>
    </w:p>
    <w:p w14:paraId="00F7D481" w14:textId="77777777" w:rsidR="00A416E1" w:rsidRPr="00A416E1" w:rsidRDefault="00A416E1" w:rsidP="00A416E1">
      <w:pPr>
        <w:numPr>
          <w:ilvl w:val="0"/>
          <w:numId w:val="25"/>
        </w:numPr>
        <w:tabs>
          <w:tab w:val="clear" w:pos="720"/>
        </w:tabs>
        <w:spacing w:after="180" w:line="360" w:lineRule="auto"/>
        <w:ind w:left="426" w:hanging="426"/>
        <w:rPr>
          <w:rFonts w:ascii="Aptos" w:eastAsia="Times New Roman" w:hAnsi="Aptos" w:cstheme="minorHAnsi"/>
          <w:b/>
          <w:bCs/>
          <w:sz w:val="24"/>
          <w:szCs w:val="24"/>
        </w:rPr>
      </w:pPr>
      <w:r w:rsidRPr="00A416E1">
        <w:rPr>
          <w:rFonts w:ascii="Aptos" w:eastAsia="Times New Roman" w:hAnsi="Aptos" w:cstheme="minorHAnsi"/>
          <w:b/>
          <w:bCs/>
          <w:sz w:val="24"/>
          <w:szCs w:val="24"/>
        </w:rPr>
        <w:t>Any internal performance reviews, audits, or monitoring documents assessing service quality, safeguarding procedures, or complaints handling by Beacon/Catch-22.</w:t>
      </w:r>
    </w:p>
    <w:p w14:paraId="3E9FFEDA" w14:textId="77777777" w:rsidR="00A416E1" w:rsidRDefault="00A416E1" w:rsidP="00A416E1">
      <w:pPr>
        <w:spacing w:after="180" w:line="360" w:lineRule="auto"/>
        <w:ind w:left="426"/>
        <w:rPr>
          <w:rFonts w:ascii="Aptos" w:eastAsia="Times New Roman" w:hAnsi="Aptos" w:cstheme="minorHAnsi"/>
          <w:sz w:val="24"/>
          <w:szCs w:val="24"/>
        </w:rPr>
      </w:pPr>
      <w:r w:rsidRPr="00A416E1">
        <w:rPr>
          <w:rFonts w:ascii="Aptos" w:eastAsia="Times New Roman" w:hAnsi="Aptos" w:cstheme="minorHAnsi"/>
          <w:sz w:val="24"/>
          <w:szCs w:val="24"/>
        </w:rPr>
        <w:t xml:space="preserve">Contracts awarded to contractors following a successful tendering process are classified as commercial in confidence.  This includes any internal performance reviews, audits or assessments of service quality, safeguarding procedures or complaints handling.  This information is therefore also exempt pursuant to Section 43(2) of the Freedom of Information Act. </w:t>
      </w:r>
    </w:p>
    <w:p w14:paraId="4D9A728A" w14:textId="77777777" w:rsidR="00A416E1" w:rsidRDefault="00A416E1" w:rsidP="00A416E1">
      <w:pPr>
        <w:spacing w:after="180" w:line="360" w:lineRule="auto"/>
        <w:ind w:left="426"/>
        <w:rPr>
          <w:rFonts w:ascii="Aptos" w:eastAsia="Times New Roman" w:hAnsi="Aptos" w:cstheme="minorHAnsi"/>
          <w:sz w:val="24"/>
          <w:szCs w:val="24"/>
        </w:rPr>
      </w:pPr>
    </w:p>
    <w:p w14:paraId="75BA6DE4" w14:textId="77777777" w:rsidR="00A416E1" w:rsidRDefault="00A416E1" w:rsidP="00A416E1">
      <w:pPr>
        <w:spacing w:after="180" w:line="360" w:lineRule="auto"/>
        <w:ind w:left="426"/>
        <w:rPr>
          <w:rFonts w:ascii="Aptos" w:eastAsia="Times New Roman" w:hAnsi="Aptos" w:cstheme="minorHAnsi"/>
          <w:sz w:val="24"/>
          <w:szCs w:val="24"/>
        </w:rPr>
      </w:pPr>
    </w:p>
    <w:p w14:paraId="5CDC01B9" w14:textId="77777777" w:rsidR="00A416E1" w:rsidRDefault="00A416E1" w:rsidP="00A416E1">
      <w:pPr>
        <w:spacing w:after="180" w:line="360" w:lineRule="auto"/>
        <w:ind w:left="426"/>
        <w:rPr>
          <w:rFonts w:ascii="Aptos" w:eastAsia="Times New Roman" w:hAnsi="Aptos" w:cstheme="minorHAnsi"/>
          <w:sz w:val="24"/>
          <w:szCs w:val="24"/>
        </w:rPr>
      </w:pPr>
    </w:p>
    <w:p w14:paraId="156AD344" w14:textId="77777777" w:rsidR="00A416E1" w:rsidRDefault="00A416E1" w:rsidP="00A416E1">
      <w:pPr>
        <w:spacing w:after="180" w:line="360" w:lineRule="auto"/>
        <w:ind w:left="426"/>
        <w:rPr>
          <w:rFonts w:ascii="Aptos" w:eastAsia="Times New Roman" w:hAnsi="Aptos" w:cstheme="minorHAnsi"/>
          <w:sz w:val="24"/>
          <w:szCs w:val="24"/>
        </w:rPr>
      </w:pPr>
    </w:p>
    <w:p w14:paraId="727905AD" w14:textId="77777777" w:rsidR="00A416E1" w:rsidRDefault="00A416E1" w:rsidP="00A416E1">
      <w:pPr>
        <w:spacing w:after="180" w:line="360" w:lineRule="auto"/>
        <w:ind w:left="426"/>
        <w:rPr>
          <w:rFonts w:ascii="Aptos" w:eastAsia="Times New Roman" w:hAnsi="Aptos" w:cstheme="minorHAnsi"/>
          <w:sz w:val="24"/>
          <w:szCs w:val="24"/>
        </w:rPr>
      </w:pPr>
    </w:p>
    <w:p w14:paraId="31596A07" w14:textId="77777777" w:rsidR="00A416E1" w:rsidRDefault="00A416E1" w:rsidP="00A416E1">
      <w:pPr>
        <w:spacing w:after="180" w:line="360" w:lineRule="auto"/>
        <w:ind w:left="426"/>
        <w:rPr>
          <w:rFonts w:ascii="Aptos" w:eastAsia="Times New Roman" w:hAnsi="Aptos" w:cstheme="minorHAnsi"/>
          <w:sz w:val="24"/>
          <w:szCs w:val="24"/>
        </w:rPr>
      </w:pPr>
    </w:p>
    <w:p w14:paraId="54331245" w14:textId="77777777" w:rsidR="00A416E1" w:rsidRPr="00A416E1" w:rsidRDefault="00A416E1" w:rsidP="00A416E1">
      <w:pPr>
        <w:spacing w:after="180" w:line="360" w:lineRule="auto"/>
        <w:ind w:left="426"/>
        <w:rPr>
          <w:rFonts w:ascii="Aptos" w:eastAsia="Times New Roman" w:hAnsi="Aptos" w:cstheme="minorHAnsi"/>
          <w:sz w:val="24"/>
          <w:szCs w:val="24"/>
        </w:rPr>
      </w:pPr>
    </w:p>
    <w:p w14:paraId="1CCA240E" w14:textId="1B00CE8F" w:rsidR="009447F4" w:rsidRPr="00A416E1" w:rsidRDefault="009447F4" w:rsidP="00A416E1">
      <w:pPr>
        <w:spacing w:line="360" w:lineRule="auto"/>
        <w:ind w:left="567" w:hanging="567"/>
        <w:rPr>
          <w:rFonts w:ascii="Aptos" w:eastAsia="Arial" w:hAnsi="Aptos" w:cstheme="minorHAnsi"/>
          <w:b/>
          <w:bCs/>
          <w:sz w:val="24"/>
          <w:szCs w:val="24"/>
        </w:rPr>
      </w:pPr>
    </w:p>
    <w:p w14:paraId="257CFA7E" w14:textId="024B4607" w:rsidR="009447F4" w:rsidRPr="00A416E1" w:rsidRDefault="009447F4" w:rsidP="009447F4">
      <w:pPr>
        <w:pStyle w:val="NoSpacing"/>
        <w:spacing w:line="360" w:lineRule="auto"/>
        <w:rPr>
          <w:rFonts w:ascii="Aptos" w:hAnsi="Aptos" w:cstheme="minorHAnsi"/>
          <w:b/>
          <w:bCs/>
          <w:sz w:val="24"/>
          <w:szCs w:val="24"/>
          <w:lang w:val="en-GB"/>
        </w:rPr>
      </w:pPr>
      <w:r w:rsidRPr="00A416E1">
        <w:rPr>
          <w:rFonts w:ascii="Aptos" w:hAnsi="Aptos" w:cstheme="minorHAnsi"/>
          <w:b/>
          <w:bCs/>
          <w:sz w:val="24"/>
          <w:szCs w:val="24"/>
          <w:lang w:val="en-GB"/>
        </w:rPr>
        <w:lastRenderedPageBreak/>
        <w:t xml:space="preserve">Appendix A - FOI Exemptions </w:t>
      </w:r>
    </w:p>
    <w:p w14:paraId="46A282AC" w14:textId="77777777" w:rsidR="009447F4" w:rsidRPr="00A416E1" w:rsidRDefault="009447F4" w:rsidP="009447F4">
      <w:pPr>
        <w:pStyle w:val="NoSpacing"/>
        <w:spacing w:line="360" w:lineRule="auto"/>
        <w:rPr>
          <w:rFonts w:ascii="Aptos" w:hAnsi="Aptos" w:cstheme="minorHAnsi"/>
          <w:sz w:val="24"/>
          <w:szCs w:val="24"/>
          <w:lang w:val="en-GB"/>
        </w:rPr>
      </w:pPr>
    </w:p>
    <w:p w14:paraId="637BE496"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sz w:val="24"/>
          <w:szCs w:val="24"/>
          <w:lang w:val="en-GB"/>
        </w:rPr>
        <w:t xml:space="preserve">Although every effort should be made to release information under the Freedom of Information Act, whilst there is a public interest in the transparency of the Office of the Police and Crime Commissioner (OPCC), providing assurance that the Office is appropriately and effectively carrying out its duties, this should be countered against the need to protect vulnerable areas, for example Police Officers and staff and ongoing policing operational activity. </w:t>
      </w:r>
    </w:p>
    <w:p w14:paraId="22FD421C" w14:textId="77777777" w:rsidR="009447F4" w:rsidRPr="00A416E1" w:rsidRDefault="009447F4" w:rsidP="009447F4">
      <w:pPr>
        <w:pStyle w:val="NoSpacing"/>
        <w:spacing w:line="360" w:lineRule="auto"/>
        <w:rPr>
          <w:rFonts w:ascii="Aptos" w:hAnsi="Aptos" w:cstheme="minorHAnsi"/>
          <w:sz w:val="24"/>
          <w:szCs w:val="24"/>
          <w:lang w:val="en-GB"/>
        </w:rPr>
      </w:pPr>
    </w:p>
    <w:p w14:paraId="68DDEA0F"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b/>
          <w:bCs/>
          <w:sz w:val="24"/>
          <w:szCs w:val="24"/>
          <w:lang w:val="en-GB"/>
        </w:rPr>
        <w:t xml:space="preserve">Section 43(2) – Commercial Interests </w:t>
      </w:r>
    </w:p>
    <w:p w14:paraId="24694301"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sz w:val="24"/>
          <w:szCs w:val="24"/>
          <w:lang w:val="en-GB"/>
        </w:rPr>
        <w:t xml:space="preserve">Section 43 is a prejudice based qualified exemption which requires the prejudice to be evidenced and a public interest test to be carried out. </w:t>
      </w:r>
    </w:p>
    <w:p w14:paraId="753C3302" w14:textId="77777777" w:rsidR="009447F4" w:rsidRPr="00A416E1" w:rsidRDefault="009447F4" w:rsidP="009447F4">
      <w:pPr>
        <w:pStyle w:val="NoSpacing"/>
        <w:spacing w:line="360" w:lineRule="auto"/>
        <w:rPr>
          <w:rFonts w:ascii="Aptos" w:hAnsi="Aptos" w:cstheme="minorHAnsi"/>
          <w:sz w:val="24"/>
          <w:szCs w:val="24"/>
          <w:lang w:val="en-GB"/>
        </w:rPr>
      </w:pPr>
    </w:p>
    <w:p w14:paraId="217DD607"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b/>
          <w:bCs/>
          <w:sz w:val="24"/>
          <w:szCs w:val="24"/>
          <w:lang w:val="en-GB"/>
        </w:rPr>
        <w:t xml:space="preserve">Public Interest Considerations </w:t>
      </w:r>
    </w:p>
    <w:p w14:paraId="73889F95" w14:textId="77777777" w:rsidR="009447F4" w:rsidRPr="00A416E1" w:rsidRDefault="009447F4" w:rsidP="009447F4">
      <w:pPr>
        <w:pStyle w:val="NoSpacing"/>
        <w:spacing w:line="360" w:lineRule="auto"/>
        <w:rPr>
          <w:rFonts w:ascii="Aptos" w:hAnsi="Aptos" w:cstheme="minorHAnsi"/>
          <w:i/>
          <w:iCs/>
          <w:sz w:val="24"/>
          <w:szCs w:val="24"/>
          <w:lang w:val="en-GB"/>
        </w:rPr>
      </w:pPr>
    </w:p>
    <w:p w14:paraId="5B5F1D8D"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i/>
          <w:iCs/>
          <w:sz w:val="24"/>
          <w:szCs w:val="24"/>
          <w:lang w:val="en-GB"/>
        </w:rPr>
        <w:t xml:space="preserve">Factors in favour of disclosure </w:t>
      </w:r>
    </w:p>
    <w:p w14:paraId="6AFD7EF7"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sz w:val="24"/>
          <w:szCs w:val="24"/>
          <w:lang w:val="en-GB"/>
        </w:rPr>
        <w:t xml:space="preserve">Providing this information would improve public debate, provide more transparency around the working of the Police &amp; Crime Commissioner’s office and enable the public to gain more understanding of the office’s financial position, specifically regarding the police estate.   </w:t>
      </w:r>
    </w:p>
    <w:p w14:paraId="19FCB448" w14:textId="77777777" w:rsidR="009447F4" w:rsidRPr="00A416E1" w:rsidRDefault="009447F4" w:rsidP="009447F4">
      <w:pPr>
        <w:pStyle w:val="NoSpacing"/>
        <w:spacing w:line="360" w:lineRule="auto"/>
        <w:rPr>
          <w:rFonts w:ascii="Aptos" w:hAnsi="Aptos" w:cstheme="minorHAnsi"/>
          <w:i/>
          <w:iCs/>
          <w:sz w:val="24"/>
          <w:szCs w:val="24"/>
          <w:lang w:val="en-GB"/>
        </w:rPr>
      </w:pPr>
    </w:p>
    <w:p w14:paraId="0E9CED06"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i/>
          <w:iCs/>
          <w:sz w:val="24"/>
          <w:szCs w:val="24"/>
          <w:lang w:val="en-GB"/>
        </w:rPr>
        <w:t xml:space="preserve">Factors in favour of non-disclosure </w:t>
      </w:r>
    </w:p>
    <w:p w14:paraId="353DC1DE"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sz w:val="24"/>
          <w:szCs w:val="24"/>
          <w:lang w:val="en-GB"/>
        </w:rPr>
        <w:t xml:space="preserve">Disclosing information on building sale and purchase prices and related agreements would harm the OPCC’s activities by allowing other organisations to understand the scale of their current competitors. There are commercial sensitivities within the reports on the purchase and sale of the Watford Court building which could jeopardise the procurement process and to release the information may prejudice the OPCC’s ability to work with current and future suppliers. </w:t>
      </w:r>
    </w:p>
    <w:p w14:paraId="1D432E74" w14:textId="77777777" w:rsidR="009447F4" w:rsidRPr="00A416E1" w:rsidRDefault="009447F4" w:rsidP="009447F4">
      <w:pPr>
        <w:pStyle w:val="NoSpacing"/>
        <w:spacing w:line="360" w:lineRule="auto"/>
        <w:rPr>
          <w:rFonts w:ascii="Aptos" w:hAnsi="Aptos" w:cstheme="minorHAnsi"/>
          <w:sz w:val="24"/>
          <w:szCs w:val="24"/>
          <w:lang w:val="en-GB"/>
        </w:rPr>
      </w:pPr>
    </w:p>
    <w:p w14:paraId="3559D296" w14:textId="77777777" w:rsidR="009447F4" w:rsidRPr="00A416E1" w:rsidRDefault="009447F4" w:rsidP="009447F4">
      <w:pPr>
        <w:pStyle w:val="NoSpacing"/>
        <w:spacing w:line="360" w:lineRule="auto"/>
        <w:rPr>
          <w:rFonts w:ascii="Aptos" w:hAnsi="Aptos" w:cstheme="minorHAnsi"/>
          <w:sz w:val="24"/>
          <w:szCs w:val="24"/>
          <w:lang w:val="en-GB"/>
        </w:rPr>
      </w:pPr>
      <w:r w:rsidRPr="00A416E1">
        <w:rPr>
          <w:rFonts w:ascii="Aptos" w:hAnsi="Aptos" w:cstheme="minorHAnsi"/>
          <w:sz w:val="24"/>
          <w:szCs w:val="24"/>
          <w:lang w:val="en-GB"/>
        </w:rPr>
        <w:t>It is our opinion that for these reasons, the balance test favours withholding information relating to this request.</w:t>
      </w:r>
    </w:p>
    <w:p w14:paraId="7146799B" w14:textId="77777777" w:rsidR="009447F4" w:rsidRDefault="009447F4" w:rsidP="00C557BC">
      <w:pPr>
        <w:pStyle w:val="NoSpacing"/>
        <w:spacing w:line="360" w:lineRule="auto"/>
        <w:rPr>
          <w:rFonts w:asciiTheme="minorHAnsi" w:eastAsiaTheme="minorHAnsi" w:hAnsiTheme="minorHAnsi" w:cstheme="minorHAnsi"/>
          <w:sz w:val="24"/>
          <w:szCs w:val="24"/>
          <w:lang w:val="en-GB"/>
        </w:rPr>
      </w:pPr>
    </w:p>
    <w:sectPr w:rsidR="009447F4"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BC665E"/>
    <w:multiLevelType w:val="multilevel"/>
    <w:tmpl w:val="0306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3"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1"/>
  </w:num>
  <w:num w:numId="2" w16cid:durableId="1491868884">
    <w:abstractNumId w:val="2"/>
  </w:num>
  <w:num w:numId="3" w16cid:durableId="806095390">
    <w:abstractNumId w:val="18"/>
  </w:num>
  <w:num w:numId="4" w16cid:durableId="1756778064">
    <w:abstractNumId w:val="20"/>
  </w:num>
  <w:num w:numId="5" w16cid:durableId="1097286709">
    <w:abstractNumId w:val="17"/>
  </w:num>
  <w:num w:numId="6" w16cid:durableId="67463503">
    <w:abstractNumId w:val="6"/>
  </w:num>
  <w:num w:numId="7" w16cid:durableId="1002928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7"/>
  </w:num>
  <w:num w:numId="9" w16cid:durableId="1274095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16"/>
  </w:num>
  <w:num w:numId="11" w16cid:durableId="648944662">
    <w:abstractNumId w:val="0"/>
  </w:num>
  <w:num w:numId="12" w16cid:durableId="1411149475">
    <w:abstractNumId w:val="11"/>
  </w:num>
  <w:num w:numId="13" w16cid:durableId="1744327155">
    <w:abstractNumId w:val="14"/>
  </w:num>
  <w:num w:numId="14" w16cid:durableId="1041369907">
    <w:abstractNumId w:val="9"/>
  </w:num>
  <w:num w:numId="15" w16cid:durableId="1883320106">
    <w:abstractNumId w:val="21"/>
  </w:num>
  <w:num w:numId="16" w16cid:durableId="200363824">
    <w:abstractNumId w:val="15"/>
  </w:num>
  <w:num w:numId="17" w16cid:durableId="617639208">
    <w:abstractNumId w:val="12"/>
  </w:num>
  <w:num w:numId="18" w16cid:durableId="1686857628">
    <w:abstractNumId w:val="5"/>
  </w:num>
  <w:num w:numId="19" w16cid:durableId="1283076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22"/>
  </w:num>
  <w:num w:numId="22" w16cid:durableId="1753161251">
    <w:abstractNumId w:val="19"/>
  </w:num>
  <w:num w:numId="23" w16cid:durableId="1838228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402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A25B6"/>
    <w:rsid w:val="004A4B64"/>
    <w:rsid w:val="004D307F"/>
    <w:rsid w:val="004E2EC4"/>
    <w:rsid w:val="0052532E"/>
    <w:rsid w:val="00560D0D"/>
    <w:rsid w:val="0057471A"/>
    <w:rsid w:val="00576D8A"/>
    <w:rsid w:val="005A702A"/>
    <w:rsid w:val="005C48AC"/>
    <w:rsid w:val="005C4C63"/>
    <w:rsid w:val="005D27EC"/>
    <w:rsid w:val="005D2F2A"/>
    <w:rsid w:val="005D30F0"/>
    <w:rsid w:val="006A4FED"/>
    <w:rsid w:val="006D435F"/>
    <w:rsid w:val="006E6221"/>
    <w:rsid w:val="00720782"/>
    <w:rsid w:val="00725970"/>
    <w:rsid w:val="00725F81"/>
    <w:rsid w:val="007378FA"/>
    <w:rsid w:val="00783310"/>
    <w:rsid w:val="00793D9C"/>
    <w:rsid w:val="007A2D83"/>
    <w:rsid w:val="007D347E"/>
    <w:rsid w:val="007E3206"/>
    <w:rsid w:val="00817A16"/>
    <w:rsid w:val="009447F4"/>
    <w:rsid w:val="00964682"/>
    <w:rsid w:val="00965DAA"/>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64C2E"/>
    <w:rsid w:val="00B755AF"/>
    <w:rsid w:val="00B77410"/>
    <w:rsid w:val="00BB0715"/>
    <w:rsid w:val="00BB32E3"/>
    <w:rsid w:val="00BF494D"/>
    <w:rsid w:val="00BF4A6C"/>
    <w:rsid w:val="00C00FE0"/>
    <w:rsid w:val="00C021C0"/>
    <w:rsid w:val="00C118C2"/>
    <w:rsid w:val="00C35E14"/>
    <w:rsid w:val="00C557BC"/>
    <w:rsid w:val="00CB4C11"/>
    <w:rsid w:val="00CC56DD"/>
    <w:rsid w:val="00CD3B1D"/>
    <w:rsid w:val="00D26855"/>
    <w:rsid w:val="00DC17CC"/>
    <w:rsid w:val="00E0182D"/>
    <w:rsid w:val="00E551B5"/>
    <w:rsid w:val="00E65762"/>
    <w:rsid w:val="00E75522"/>
    <w:rsid w:val="00E803A9"/>
    <w:rsid w:val="00ED0879"/>
    <w:rsid w:val="00EE226A"/>
    <w:rsid w:val="00F16CF5"/>
    <w:rsid w:val="00F70D7C"/>
    <w:rsid w:val="00F8499F"/>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84</cp:revision>
  <cp:lastPrinted>2020-06-02T14:13:00Z</cp:lastPrinted>
  <dcterms:created xsi:type="dcterms:W3CDTF">2014-12-02T09:41:00Z</dcterms:created>
  <dcterms:modified xsi:type="dcterms:W3CDTF">2025-07-11T08:45:00Z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